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C5" w:rsidRPr="00A462AF" w:rsidRDefault="00E53BC5" w:rsidP="00241729">
      <w:pPr>
        <w:shd w:val="clear" w:color="auto" w:fill="FFFFFF"/>
        <w:spacing w:after="240"/>
        <w:ind w:left="-142"/>
        <w:jc w:val="center"/>
        <w:rPr>
          <w:rFonts w:ascii="Tahoma" w:hAnsi="Tahoma" w:cs="Tahoma"/>
          <w:b/>
          <w:bdr w:val="single" w:sz="4" w:space="0" w:color="auto"/>
        </w:rPr>
      </w:pPr>
      <w:r w:rsidRPr="00A462AF">
        <w:rPr>
          <w:rFonts w:ascii="Tahoma" w:hAnsi="Tahoma" w:cs="Tahoma"/>
          <w:b/>
          <w:bdr w:val="single" w:sz="4" w:space="0" w:color="auto"/>
        </w:rPr>
        <w:t xml:space="preserve">DELIBERATION RELATIVE A LA </w:t>
      </w:r>
      <w:r w:rsidR="0027031F" w:rsidRPr="00A462AF">
        <w:rPr>
          <w:rFonts w:ascii="Tahoma" w:hAnsi="Tahoma" w:cs="Tahoma"/>
          <w:b/>
          <w:bdr w:val="single" w:sz="4" w:space="0" w:color="auto"/>
        </w:rPr>
        <w:t>PRIME DE POUVOIR D’ACHAT EXCEPTIONNELLE</w:t>
      </w:r>
    </w:p>
    <w:p w:rsidR="003B6EA3" w:rsidRPr="00A462AF" w:rsidRDefault="00E53BC5" w:rsidP="00241729">
      <w:pPr>
        <w:pStyle w:val="Sansinterligne"/>
        <w:ind w:left="-142"/>
        <w:jc w:val="both"/>
        <w:rPr>
          <w:rFonts w:ascii="Tahoma" w:hAnsi="Tahoma" w:cs="Tahoma"/>
          <w:b/>
        </w:rPr>
      </w:pPr>
      <w:r w:rsidRPr="00A462AF">
        <w:rPr>
          <w:rFonts w:ascii="Tahoma" w:hAnsi="Tahoma" w:cs="Tahoma"/>
        </w:rPr>
        <w:t>Le Conseil (ou l’Assemblée),</w:t>
      </w:r>
    </w:p>
    <w:p w:rsidR="00E53BC5" w:rsidRPr="00A462AF" w:rsidRDefault="00E53BC5" w:rsidP="00241729">
      <w:pPr>
        <w:pStyle w:val="Sansinterligne"/>
        <w:ind w:left="-142"/>
        <w:jc w:val="both"/>
        <w:rPr>
          <w:rFonts w:ascii="Tahoma" w:hAnsi="Tahoma" w:cs="Tahoma"/>
        </w:rPr>
      </w:pPr>
      <w:r w:rsidRPr="00A462AF">
        <w:rPr>
          <w:rFonts w:ascii="Tahoma" w:hAnsi="Tahoma" w:cs="Tahoma"/>
        </w:rPr>
        <w:t>Sur rapport de Monsieur le Maire,</w:t>
      </w:r>
    </w:p>
    <w:p w:rsidR="00E53BC5" w:rsidRPr="00A462AF" w:rsidRDefault="00E53BC5" w:rsidP="00241729">
      <w:pPr>
        <w:shd w:val="clear" w:color="auto" w:fill="FFFFFF"/>
        <w:spacing w:after="40"/>
        <w:ind w:left="-142"/>
        <w:jc w:val="both"/>
        <w:rPr>
          <w:rFonts w:ascii="Tahoma" w:hAnsi="Tahoma" w:cs="Tahoma"/>
          <w:color w:val="000000"/>
        </w:rPr>
      </w:pPr>
      <w:r w:rsidRPr="00A462AF">
        <w:rPr>
          <w:rFonts w:ascii="Tahoma" w:hAnsi="Tahoma" w:cs="Tahoma"/>
          <w:b/>
          <w:bCs/>
          <w:color w:val="000000"/>
        </w:rPr>
        <w:t>VU</w:t>
      </w:r>
      <w:r w:rsidRPr="00A462AF">
        <w:rPr>
          <w:rFonts w:ascii="Tahoma" w:hAnsi="Tahoma" w:cs="Tahoma"/>
          <w:color w:val="000000"/>
        </w:rPr>
        <w:t xml:space="preserve"> </w:t>
      </w:r>
      <w:r w:rsidR="00902D6C" w:rsidRPr="00A462AF">
        <w:rPr>
          <w:rFonts w:ascii="Tahoma" w:hAnsi="Tahoma" w:cs="Tahoma"/>
          <w:color w:val="000000"/>
        </w:rPr>
        <w:t>le code général de la fonction publique</w:t>
      </w:r>
      <w:r w:rsidRPr="00A462AF">
        <w:rPr>
          <w:rFonts w:ascii="Tahoma" w:hAnsi="Tahoma" w:cs="Tahoma"/>
          <w:color w:val="000000"/>
        </w:rPr>
        <w:t>,</w:t>
      </w:r>
    </w:p>
    <w:p w:rsidR="00E53BC5" w:rsidRPr="00A462AF" w:rsidRDefault="00E53BC5" w:rsidP="00241729">
      <w:pPr>
        <w:shd w:val="clear" w:color="auto" w:fill="FFFFFF"/>
        <w:spacing w:after="40" w:line="223" w:lineRule="exact"/>
        <w:ind w:left="-142"/>
        <w:jc w:val="both"/>
        <w:rPr>
          <w:rFonts w:ascii="Tahoma" w:hAnsi="Tahoma" w:cs="Tahoma"/>
          <w:color w:val="000000"/>
        </w:rPr>
      </w:pPr>
      <w:r w:rsidRPr="00A462AF">
        <w:rPr>
          <w:rFonts w:ascii="Tahoma" w:hAnsi="Tahoma" w:cs="Tahoma"/>
          <w:b/>
          <w:bCs/>
          <w:color w:val="000000"/>
        </w:rPr>
        <w:t>VU</w:t>
      </w:r>
      <w:r w:rsidRPr="00A462AF">
        <w:rPr>
          <w:rFonts w:ascii="Tahoma" w:hAnsi="Tahoma" w:cs="Tahoma"/>
          <w:color w:val="000000"/>
        </w:rPr>
        <w:t xml:space="preserve"> le décret n° </w:t>
      </w:r>
      <w:r w:rsidR="003B6EA3" w:rsidRPr="00A462AF">
        <w:rPr>
          <w:rFonts w:ascii="Tahoma" w:hAnsi="Tahoma" w:cs="Tahoma"/>
          <w:color w:val="000000"/>
        </w:rPr>
        <w:t>2023</w:t>
      </w:r>
      <w:r w:rsidR="00C2726A" w:rsidRPr="00A462AF">
        <w:rPr>
          <w:rFonts w:ascii="Tahoma" w:hAnsi="Tahoma" w:cs="Tahoma"/>
          <w:color w:val="000000"/>
        </w:rPr>
        <w:t xml:space="preserve">-1006 du 31 octobre </w:t>
      </w:r>
      <w:r w:rsidR="003B6EA3" w:rsidRPr="00A462AF">
        <w:rPr>
          <w:rFonts w:ascii="Tahoma" w:hAnsi="Tahoma" w:cs="Tahoma"/>
          <w:color w:val="000000"/>
        </w:rPr>
        <w:t xml:space="preserve">2023 portant création d’une prime de pouvoir d’achat exceptionnelle pour certains agents publics civils de la fonction publique </w:t>
      </w:r>
      <w:r w:rsidR="00C2726A" w:rsidRPr="00A462AF">
        <w:rPr>
          <w:rFonts w:ascii="Tahoma" w:hAnsi="Tahoma" w:cs="Tahoma"/>
          <w:color w:val="000000"/>
        </w:rPr>
        <w:t>territoriale,</w:t>
      </w:r>
    </w:p>
    <w:p w:rsidR="00241729" w:rsidRPr="00A462AF" w:rsidRDefault="00241729" w:rsidP="00241729">
      <w:pPr>
        <w:shd w:val="clear" w:color="auto" w:fill="FFFFFF"/>
        <w:spacing w:after="40" w:line="223" w:lineRule="exact"/>
        <w:ind w:left="-142"/>
        <w:jc w:val="both"/>
        <w:rPr>
          <w:rFonts w:ascii="Tahoma" w:hAnsi="Tahoma" w:cs="Tahoma"/>
          <w:color w:val="000000"/>
        </w:rPr>
      </w:pPr>
      <w:r w:rsidRPr="00A462AF">
        <w:rPr>
          <w:rFonts w:ascii="Tahoma" w:hAnsi="Tahoma" w:cs="Tahoma"/>
          <w:b/>
          <w:bCs/>
          <w:color w:val="000000"/>
        </w:rPr>
        <w:t xml:space="preserve">Vu </w:t>
      </w:r>
      <w:r w:rsidRPr="00A462AF">
        <w:rPr>
          <w:rFonts w:ascii="Tahoma" w:hAnsi="Tahoma" w:cs="Tahoma"/>
          <w:bCs/>
          <w:color w:val="000000"/>
        </w:rPr>
        <w:t>l’avis du Comité Social Territorial,</w:t>
      </w:r>
    </w:p>
    <w:p w:rsidR="00E53BC5" w:rsidRPr="00A462AF" w:rsidRDefault="00E53BC5" w:rsidP="00241729">
      <w:pPr>
        <w:shd w:val="clear" w:color="auto" w:fill="FFFFFF"/>
        <w:spacing w:after="40" w:line="223" w:lineRule="exact"/>
        <w:ind w:left="-142"/>
        <w:jc w:val="both"/>
        <w:rPr>
          <w:rFonts w:ascii="Tahoma" w:hAnsi="Tahoma" w:cs="Tahoma"/>
          <w:color w:val="000000"/>
        </w:rPr>
      </w:pPr>
      <w:r w:rsidRPr="00A462AF">
        <w:rPr>
          <w:rFonts w:ascii="Tahoma" w:hAnsi="Tahoma" w:cs="Tahoma"/>
          <w:b/>
          <w:bCs/>
          <w:color w:val="000000"/>
        </w:rPr>
        <w:t>VU</w:t>
      </w:r>
      <w:r w:rsidRPr="00A462AF">
        <w:rPr>
          <w:rFonts w:ascii="Tahoma" w:hAnsi="Tahoma" w:cs="Tahoma"/>
          <w:color w:val="000000"/>
        </w:rPr>
        <w:t xml:space="preserve"> les crédits inscrits au budget,</w:t>
      </w:r>
    </w:p>
    <w:p w:rsidR="00E53BC5" w:rsidRPr="00A462AF" w:rsidRDefault="00E53BC5" w:rsidP="00241729">
      <w:pPr>
        <w:shd w:val="clear" w:color="auto" w:fill="FFFFFF"/>
        <w:spacing w:before="7" w:after="240" w:line="223" w:lineRule="exact"/>
        <w:ind w:left="-142"/>
        <w:jc w:val="both"/>
        <w:rPr>
          <w:rFonts w:ascii="Tahoma" w:hAnsi="Tahoma" w:cs="Tahoma"/>
          <w:color w:val="000000"/>
        </w:rPr>
      </w:pPr>
      <w:r w:rsidRPr="00A462AF">
        <w:rPr>
          <w:rFonts w:ascii="Tahoma" w:hAnsi="Tahoma" w:cs="Tahoma"/>
          <w:b/>
          <w:bCs/>
          <w:color w:val="000000"/>
        </w:rPr>
        <w:t>CONSIDERANT</w:t>
      </w:r>
      <w:r w:rsidRPr="00A462AF">
        <w:rPr>
          <w:rFonts w:ascii="Tahoma" w:hAnsi="Tahoma" w:cs="Tahoma"/>
          <w:color w:val="000000"/>
        </w:rPr>
        <w:t xml:space="preserve"> que conformément à l'article </w:t>
      </w:r>
      <w:r w:rsidR="003B6EA3" w:rsidRPr="00A462AF">
        <w:rPr>
          <w:rFonts w:ascii="Tahoma" w:hAnsi="Tahoma" w:cs="Tahoma"/>
          <w:color w:val="000000"/>
        </w:rPr>
        <w:t>L714-4</w:t>
      </w:r>
      <w:r w:rsidRPr="00A462AF">
        <w:rPr>
          <w:rFonts w:ascii="Tahoma" w:hAnsi="Tahoma" w:cs="Tahoma"/>
          <w:color w:val="000000"/>
        </w:rPr>
        <w:t xml:space="preserve">, </w:t>
      </w:r>
      <w:r w:rsidR="003B6EA3" w:rsidRPr="00A462AF">
        <w:rPr>
          <w:rFonts w:ascii="Tahoma" w:hAnsi="Tahoma" w:cs="Tahoma"/>
          <w:color w:val="000000"/>
        </w:rPr>
        <w:t>les organes délibérants des collectivités territoriales et de leurs établissements publics fixent les régimes indemnitaires de leurs agents, dans la limite de ceux dont bénéficient les différents services de l’Etat</w:t>
      </w:r>
      <w:r w:rsidR="0027031F" w:rsidRPr="00A462AF">
        <w:rPr>
          <w:rFonts w:ascii="Tahoma" w:hAnsi="Tahoma" w:cs="Tahoma"/>
          <w:color w:val="000000"/>
        </w:rPr>
        <w:t>.</w:t>
      </w:r>
    </w:p>
    <w:p w:rsidR="00E53BC5" w:rsidRPr="00A462AF" w:rsidRDefault="00E53BC5" w:rsidP="00241729">
      <w:pPr>
        <w:pStyle w:val="articleRI"/>
        <w:numPr>
          <w:ilvl w:val="0"/>
          <w:numId w:val="5"/>
        </w:numPr>
        <w:jc w:val="both"/>
        <w:rPr>
          <w:sz w:val="20"/>
        </w:rPr>
      </w:pPr>
      <w:r w:rsidRPr="00A462AF">
        <w:rPr>
          <w:sz w:val="20"/>
        </w:rPr>
        <w:t>Bénéficiaires</w:t>
      </w:r>
    </w:p>
    <w:p w:rsidR="007F62FE" w:rsidRPr="00A462AF" w:rsidRDefault="00E53BC5" w:rsidP="00241729">
      <w:pPr>
        <w:pStyle w:val="articleRI"/>
        <w:jc w:val="both"/>
        <w:rPr>
          <w:rFonts w:eastAsiaTheme="minorHAnsi"/>
          <w:sz w:val="20"/>
          <w:lang w:eastAsia="en-US"/>
        </w:rPr>
      </w:pPr>
      <w:r w:rsidRPr="00A462AF">
        <w:rPr>
          <w:sz w:val="20"/>
        </w:rPr>
        <w:t xml:space="preserve">Il est décidé l’attribution de </w:t>
      </w:r>
      <w:r w:rsidR="003B6EA3" w:rsidRPr="00A462AF">
        <w:rPr>
          <w:sz w:val="20"/>
        </w:rPr>
        <w:t>la prime pouvoir d’achat exceptionnelle</w:t>
      </w:r>
      <w:r w:rsidR="007F62FE" w:rsidRPr="00A462AF">
        <w:rPr>
          <w:sz w:val="20"/>
        </w:rPr>
        <w:t xml:space="preserve"> </w:t>
      </w:r>
      <w:r w:rsidR="003B6EA3" w:rsidRPr="00A462AF">
        <w:rPr>
          <w:sz w:val="20"/>
        </w:rPr>
        <w:t>pour les agents publics dont la rémunération brute perçue au titre de la période du 1</w:t>
      </w:r>
      <w:r w:rsidR="003B6EA3" w:rsidRPr="00A462AF">
        <w:rPr>
          <w:sz w:val="20"/>
          <w:vertAlign w:val="superscript"/>
        </w:rPr>
        <w:t>er</w:t>
      </w:r>
      <w:r w:rsidR="003B6EA3" w:rsidRPr="00A462AF">
        <w:rPr>
          <w:sz w:val="20"/>
        </w:rPr>
        <w:t xml:space="preserve"> juillet 2022 au 30 juin 2023 est inférieure à 39 000 €</w:t>
      </w:r>
      <w:r w:rsidR="0027031F" w:rsidRPr="00A462AF">
        <w:rPr>
          <w:sz w:val="20"/>
        </w:rPr>
        <w:t>.</w:t>
      </w:r>
    </w:p>
    <w:p w:rsidR="00241729" w:rsidRPr="00A462AF" w:rsidRDefault="0027031F" w:rsidP="00241729">
      <w:pPr>
        <w:pStyle w:val="articleRI"/>
        <w:jc w:val="both"/>
        <w:rPr>
          <w:sz w:val="20"/>
          <w:shd w:val="clear" w:color="auto" w:fill="FFFFFF"/>
        </w:rPr>
      </w:pPr>
      <w:r w:rsidRPr="00A462AF">
        <w:rPr>
          <w:bCs w:val="0"/>
          <w:sz w:val="20"/>
          <w:shd w:val="clear" w:color="auto" w:fill="FFFFFF"/>
        </w:rPr>
        <w:t>I.</w:t>
      </w:r>
      <w:r w:rsidRPr="00A462AF">
        <w:rPr>
          <w:sz w:val="20"/>
          <w:shd w:val="clear" w:color="auto" w:fill="FFFFFF"/>
        </w:rPr>
        <w:t xml:space="preserve"> </w:t>
      </w:r>
      <w:r w:rsidR="003B6EA3" w:rsidRPr="00A462AF">
        <w:rPr>
          <w:sz w:val="20"/>
          <w:shd w:val="clear" w:color="auto" w:fill="FFFFFF"/>
        </w:rPr>
        <w:t xml:space="preserve">- Pour </w:t>
      </w:r>
      <w:r w:rsidR="00241729" w:rsidRPr="00A462AF">
        <w:rPr>
          <w:sz w:val="20"/>
          <w:shd w:val="clear" w:color="auto" w:fill="FFFFFF"/>
        </w:rPr>
        <w:t>en bénéficier</w:t>
      </w:r>
      <w:r w:rsidR="003B6EA3" w:rsidRPr="00A462AF">
        <w:rPr>
          <w:sz w:val="20"/>
          <w:shd w:val="clear" w:color="auto" w:fill="FFFFFF"/>
        </w:rPr>
        <w:t>, les agents publics doivent remplir les conditions cumulatives suivantes :</w:t>
      </w:r>
      <w:r w:rsidR="003B6EA3" w:rsidRPr="00A462AF">
        <w:rPr>
          <w:sz w:val="20"/>
        </w:rPr>
        <w:br/>
      </w:r>
      <w:r w:rsidR="003B6EA3" w:rsidRPr="00A462AF">
        <w:rPr>
          <w:sz w:val="20"/>
          <w:shd w:val="clear" w:color="auto" w:fill="FFFFFF"/>
        </w:rPr>
        <w:t xml:space="preserve">1° Avoir été nommés ou recrutés par un employeur </w:t>
      </w:r>
      <w:r w:rsidR="00241729" w:rsidRPr="00A462AF">
        <w:rPr>
          <w:sz w:val="20"/>
          <w:shd w:val="clear" w:color="auto" w:fill="FFFFFF"/>
        </w:rPr>
        <w:t xml:space="preserve">territorial </w:t>
      </w:r>
      <w:r w:rsidR="003B6EA3" w:rsidRPr="00A462AF">
        <w:rPr>
          <w:sz w:val="20"/>
          <w:shd w:val="clear" w:color="auto" w:fill="FFFFFF"/>
        </w:rPr>
        <w:t>à une date d'effet antérieure au 1</w:t>
      </w:r>
      <w:r w:rsidR="003B6EA3" w:rsidRPr="00A462AF">
        <w:rPr>
          <w:sz w:val="20"/>
          <w:shd w:val="clear" w:color="auto" w:fill="FFFFFF"/>
          <w:vertAlign w:val="superscript"/>
        </w:rPr>
        <w:t>er</w:t>
      </w:r>
      <w:r w:rsidR="003B6EA3" w:rsidRPr="00A462AF">
        <w:rPr>
          <w:sz w:val="20"/>
          <w:shd w:val="clear" w:color="auto" w:fill="FFFFFF"/>
        </w:rPr>
        <w:t xml:space="preserve"> janvier 2023 ;</w:t>
      </w:r>
      <w:r w:rsidR="003B6EA3" w:rsidRPr="00A462AF">
        <w:rPr>
          <w:sz w:val="20"/>
        </w:rPr>
        <w:br/>
      </w:r>
      <w:r w:rsidR="003B6EA3" w:rsidRPr="00A462AF">
        <w:rPr>
          <w:sz w:val="20"/>
          <w:shd w:val="clear" w:color="auto" w:fill="FFFFFF"/>
        </w:rPr>
        <w:t xml:space="preserve">2° </w:t>
      </w:r>
      <w:proofErr w:type="spellStart"/>
      <w:r w:rsidR="003B6EA3" w:rsidRPr="00A462AF">
        <w:rPr>
          <w:sz w:val="20"/>
          <w:shd w:val="clear" w:color="auto" w:fill="FFFFFF"/>
        </w:rPr>
        <w:t>Etre</w:t>
      </w:r>
      <w:proofErr w:type="spellEnd"/>
      <w:r w:rsidR="003B6EA3" w:rsidRPr="00A462AF">
        <w:rPr>
          <w:sz w:val="20"/>
          <w:shd w:val="clear" w:color="auto" w:fill="FFFFFF"/>
        </w:rPr>
        <w:t xml:space="preserve"> employés et rémunérés par un employeur </w:t>
      </w:r>
      <w:r w:rsidR="00241729" w:rsidRPr="00A462AF">
        <w:rPr>
          <w:sz w:val="20"/>
          <w:shd w:val="clear" w:color="auto" w:fill="FFFFFF"/>
        </w:rPr>
        <w:t>territorial</w:t>
      </w:r>
      <w:r w:rsidR="003B6EA3" w:rsidRPr="00A462AF">
        <w:rPr>
          <w:sz w:val="20"/>
          <w:shd w:val="clear" w:color="auto" w:fill="FFFFFF"/>
        </w:rPr>
        <w:t xml:space="preserve"> au 30 juin 2023.</w:t>
      </w:r>
    </w:p>
    <w:p w:rsidR="0027031F" w:rsidRPr="00A462AF" w:rsidRDefault="003B6EA3" w:rsidP="00241729">
      <w:pPr>
        <w:pStyle w:val="articleRI"/>
        <w:jc w:val="both"/>
        <w:rPr>
          <w:sz w:val="20"/>
          <w:shd w:val="clear" w:color="auto" w:fill="FFFFFF"/>
        </w:rPr>
      </w:pPr>
      <w:r w:rsidRPr="00A462AF">
        <w:rPr>
          <w:sz w:val="20"/>
          <w:shd w:val="clear" w:color="auto" w:fill="FFFFFF"/>
        </w:rPr>
        <w:t>II. - La rémunération brute mentionnée à l'alinéa précédent correspond à celle définie à l'</w:t>
      </w:r>
      <w:hyperlink r:id="rId8" w:tooltip="Code de la sécurité sociale. - art. L136-1-1 (M)" w:history="1">
        <w:r w:rsidRPr="00A462AF">
          <w:rPr>
            <w:rStyle w:val="Lienhypertexte"/>
            <w:color w:val="4A5E81"/>
            <w:sz w:val="20"/>
            <w:shd w:val="clear" w:color="auto" w:fill="FFFFFF"/>
          </w:rPr>
          <w:t>article L. 136-1</w:t>
        </w:r>
        <w:r w:rsidRPr="00A462AF">
          <w:rPr>
            <w:rStyle w:val="Lienhypertexte"/>
            <w:color w:val="4A5E81"/>
            <w:sz w:val="20"/>
            <w:shd w:val="clear" w:color="auto" w:fill="FFFFFF"/>
          </w:rPr>
          <w:t>-</w:t>
        </w:r>
        <w:r w:rsidRPr="00A462AF">
          <w:rPr>
            <w:rStyle w:val="Lienhypertexte"/>
            <w:color w:val="4A5E81"/>
            <w:sz w:val="20"/>
            <w:shd w:val="clear" w:color="auto" w:fill="FFFFFF"/>
          </w:rPr>
          <w:t>1 du code de la sécurité sociale</w:t>
        </w:r>
      </w:hyperlink>
      <w:r w:rsidRPr="00A462AF">
        <w:rPr>
          <w:sz w:val="20"/>
          <w:shd w:val="clear" w:color="auto" w:fill="FFFFFF"/>
        </w:rPr>
        <w:t> de laquelle sont déduits les éléments suivants de rémunération versés au titre de la période courant du 1</w:t>
      </w:r>
      <w:r w:rsidRPr="00A462AF">
        <w:rPr>
          <w:sz w:val="20"/>
          <w:shd w:val="clear" w:color="auto" w:fill="FFFFFF"/>
          <w:vertAlign w:val="superscript"/>
        </w:rPr>
        <w:t>er</w:t>
      </w:r>
      <w:r w:rsidRPr="00A462AF">
        <w:rPr>
          <w:sz w:val="20"/>
          <w:shd w:val="clear" w:color="auto" w:fill="FFFFFF"/>
        </w:rPr>
        <w:t xml:space="preserve"> juillet 2022 au 30 juin 2023 :</w:t>
      </w:r>
      <w:r w:rsidR="00241729" w:rsidRPr="00A462AF">
        <w:rPr>
          <w:sz w:val="20"/>
          <w:shd w:val="clear" w:color="auto" w:fill="FFFFFF"/>
        </w:rPr>
        <w:tab/>
      </w:r>
      <w:r w:rsidRPr="00A462AF">
        <w:rPr>
          <w:sz w:val="20"/>
        </w:rPr>
        <w:br/>
      </w:r>
      <w:r w:rsidRPr="00A462AF">
        <w:rPr>
          <w:sz w:val="20"/>
          <w:shd w:val="clear" w:color="auto" w:fill="FFFFFF"/>
        </w:rPr>
        <w:t>1° L'indemnité mentionnée à l'</w:t>
      </w:r>
      <w:hyperlink r:id="rId9" w:tooltip="Décret n°2008-539  du 6 juin 2008 - art. 1 (V)" w:history="1">
        <w:r w:rsidRPr="00A462AF">
          <w:rPr>
            <w:rStyle w:val="Lienhypertexte"/>
            <w:color w:val="4A5E81"/>
            <w:sz w:val="20"/>
            <w:shd w:val="clear" w:color="auto" w:fill="FFFFFF"/>
          </w:rPr>
          <w:t xml:space="preserve">article 1er du décret du </w:t>
        </w:r>
        <w:r w:rsidRPr="00A462AF">
          <w:rPr>
            <w:rStyle w:val="Lienhypertexte"/>
            <w:color w:val="4A5E81"/>
            <w:sz w:val="20"/>
            <w:shd w:val="clear" w:color="auto" w:fill="FFFFFF"/>
          </w:rPr>
          <w:t>6</w:t>
        </w:r>
        <w:r w:rsidRPr="00A462AF">
          <w:rPr>
            <w:rStyle w:val="Lienhypertexte"/>
            <w:color w:val="4A5E81"/>
            <w:sz w:val="20"/>
            <w:shd w:val="clear" w:color="auto" w:fill="FFFFFF"/>
          </w:rPr>
          <w:t xml:space="preserve"> juin 2008 susvisé</w:t>
        </w:r>
      </w:hyperlink>
      <w:r w:rsidRPr="00A462AF">
        <w:rPr>
          <w:sz w:val="20"/>
          <w:shd w:val="clear" w:color="auto" w:fill="FFFFFF"/>
        </w:rPr>
        <w:t> </w:t>
      </w:r>
      <w:r w:rsidR="00A462AF">
        <w:rPr>
          <w:sz w:val="20"/>
          <w:shd w:val="clear" w:color="auto" w:fill="FFFFFF"/>
        </w:rPr>
        <w:t>(GIPA)</w:t>
      </w:r>
      <w:r w:rsidRPr="00A462AF">
        <w:rPr>
          <w:sz w:val="20"/>
          <w:shd w:val="clear" w:color="auto" w:fill="FFFFFF"/>
        </w:rPr>
        <w:t>;</w:t>
      </w:r>
      <w:r w:rsidR="00241729" w:rsidRPr="00A462AF">
        <w:rPr>
          <w:sz w:val="20"/>
          <w:shd w:val="clear" w:color="auto" w:fill="FFFFFF"/>
        </w:rPr>
        <w:tab/>
      </w:r>
      <w:r w:rsidRPr="00A462AF">
        <w:rPr>
          <w:sz w:val="20"/>
        </w:rPr>
        <w:br/>
      </w:r>
      <w:r w:rsidRPr="00A462AF">
        <w:rPr>
          <w:sz w:val="20"/>
          <w:shd w:val="clear" w:color="auto" w:fill="FFFFFF"/>
        </w:rPr>
        <w:t>2° Les éléments de rémunération mentionnés à l'</w:t>
      </w:r>
      <w:hyperlink r:id="rId10" w:tooltip="Décret n°2019-133 du 25 février 2019 - art. 1 (V)" w:history="1">
        <w:r w:rsidRPr="00A462AF">
          <w:rPr>
            <w:rStyle w:val="Lienhypertexte"/>
            <w:color w:val="4A5E81"/>
            <w:sz w:val="20"/>
            <w:shd w:val="clear" w:color="auto" w:fill="FFFFFF"/>
          </w:rPr>
          <w:t xml:space="preserve">article 1er </w:t>
        </w:r>
        <w:r w:rsidRPr="00A462AF">
          <w:rPr>
            <w:rStyle w:val="Lienhypertexte"/>
            <w:color w:val="4A5E81"/>
            <w:sz w:val="20"/>
            <w:shd w:val="clear" w:color="auto" w:fill="FFFFFF"/>
          </w:rPr>
          <w:t>d</w:t>
        </w:r>
        <w:r w:rsidRPr="00A462AF">
          <w:rPr>
            <w:rStyle w:val="Lienhypertexte"/>
            <w:color w:val="4A5E81"/>
            <w:sz w:val="20"/>
            <w:shd w:val="clear" w:color="auto" w:fill="FFFFFF"/>
          </w:rPr>
          <w:t>u décret du 25 février 2019 susvisé</w:t>
        </w:r>
      </w:hyperlink>
      <w:r w:rsidR="00A462AF" w:rsidRPr="00A462AF">
        <w:rPr>
          <w:rStyle w:val="Lienhypertexte"/>
          <w:color w:val="4A5E81"/>
          <w:sz w:val="20"/>
          <w:u w:val="none"/>
          <w:shd w:val="clear" w:color="auto" w:fill="FFFFFF"/>
        </w:rPr>
        <w:t xml:space="preserve"> </w:t>
      </w:r>
      <w:r w:rsidR="00A462AF" w:rsidRPr="00A462AF">
        <w:rPr>
          <w:rStyle w:val="Lienhypertexte"/>
          <w:color w:val="auto"/>
          <w:sz w:val="20"/>
          <w:u w:val="none"/>
          <w:shd w:val="clear" w:color="auto" w:fill="FFFFFF"/>
        </w:rPr>
        <w:t>(IHTS)</w:t>
      </w:r>
      <w:r w:rsidRPr="00A462AF">
        <w:rPr>
          <w:sz w:val="20"/>
          <w:shd w:val="clear" w:color="auto" w:fill="FFFFFF"/>
        </w:rPr>
        <w:t>, dans la limite du plafond prévu à l'</w:t>
      </w:r>
      <w:hyperlink r:id="rId11" w:tooltip="Code général des impôts, CGI. - art. 81 quater (M)" w:history="1">
        <w:r w:rsidRPr="00A462AF">
          <w:rPr>
            <w:rStyle w:val="Lienhypertexte"/>
            <w:color w:val="4A5E81"/>
            <w:sz w:val="20"/>
            <w:shd w:val="clear" w:color="auto" w:fill="FFFFFF"/>
          </w:rPr>
          <w:t>article 81 quater du code général des impôts</w:t>
        </w:r>
      </w:hyperlink>
      <w:r w:rsidRPr="00A462AF">
        <w:rPr>
          <w:sz w:val="20"/>
          <w:shd w:val="clear" w:color="auto" w:fill="FFFFFF"/>
        </w:rPr>
        <w:t>.</w:t>
      </w:r>
    </w:p>
    <w:p w:rsidR="003B6EA3" w:rsidRPr="00A462AF" w:rsidRDefault="003B6EA3" w:rsidP="00241729">
      <w:pPr>
        <w:pStyle w:val="articleRI"/>
        <w:jc w:val="both"/>
        <w:rPr>
          <w:sz w:val="20"/>
          <w:shd w:val="clear" w:color="auto" w:fill="FFFFFF"/>
        </w:rPr>
      </w:pPr>
      <w:r w:rsidRPr="00A462AF">
        <w:rPr>
          <w:sz w:val="20"/>
          <w:shd w:val="clear" w:color="auto" w:fill="FFFFFF"/>
        </w:rPr>
        <w:t xml:space="preserve">III. - Pour les agents publics qui n'ont pas été employés et rémunérés pendant la totalité de la période courant du </w:t>
      </w:r>
      <w:r w:rsidR="00535192" w:rsidRPr="00A462AF">
        <w:rPr>
          <w:sz w:val="20"/>
          <w:shd w:val="clear" w:color="auto" w:fill="FFFFFF"/>
        </w:rPr>
        <w:t xml:space="preserve">         </w:t>
      </w:r>
      <w:r w:rsidRPr="00A462AF">
        <w:rPr>
          <w:sz w:val="20"/>
          <w:shd w:val="clear" w:color="auto" w:fill="FFFFFF"/>
        </w:rPr>
        <w:t>1</w:t>
      </w:r>
      <w:r w:rsidRPr="00A462AF">
        <w:rPr>
          <w:sz w:val="20"/>
          <w:shd w:val="clear" w:color="auto" w:fill="FFFFFF"/>
          <w:vertAlign w:val="superscript"/>
        </w:rPr>
        <w:t>er</w:t>
      </w:r>
      <w:r w:rsidRPr="00A462AF">
        <w:rPr>
          <w:sz w:val="20"/>
          <w:shd w:val="clear" w:color="auto" w:fill="FFFFFF"/>
        </w:rPr>
        <w:t xml:space="preserve"> juillet 2022 au 30 juin 2023, le montant de la rémunération brute est divisé par le nombre de mois rémunérés sur </w:t>
      </w:r>
      <w:r w:rsidR="00535192" w:rsidRPr="00A462AF">
        <w:rPr>
          <w:sz w:val="20"/>
          <w:shd w:val="clear" w:color="auto" w:fill="FFFFFF"/>
        </w:rPr>
        <w:t xml:space="preserve">cette même période </w:t>
      </w:r>
      <w:r w:rsidRPr="00A462AF">
        <w:rPr>
          <w:sz w:val="20"/>
          <w:shd w:val="clear" w:color="auto" w:fill="FFFFFF"/>
        </w:rPr>
        <w:t>puis multiplié par douze pour déterminer la rémunération de référence brute</w:t>
      </w:r>
      <w:r w:rsidR="00535192" w:rsidRPr="00A462AF">
        <w:rPr>
          <w:sz w:val="20"/>
          <w:shd w:val="clear" w:color="auto" w:fill="FFFFFF"/>
        </w:rPr>
        <w:t>.</w:t>
      </w:r>
      <w:r w:rsidR="00535192" w:rsidRPr="00A462AF">
        <w:rPr>
          <w:sz w:val="20"/>
          <w:shd w:val="clear" w:color="auto" w:fill="FFFFFF"/>
        </w:rPr>
        <w:tab/>
      </w:r>
      <w:r w:rsidRPr="00A462AF">
        <w:rPr>
          <w:sz w:val="20"/>
        </w:rPr>
        <w:br/>
      </w:r>
      <w:r w:rsidRPr="00A462AF">
        <w:rPr>
          <w:sz w:val="20"/>
          <w:shd w:val="clear" w:color="auto" w:fill="FFFFFF"/>
        </w:rPr>
        <w:t>Lorsque plusieurs employeurs ont successivement employé et rémunéré l'agent public au cours de la période courant du 1</w:t>
      </w:r>
      <w:r w:rsidRPr="00A462AF">
        <w:rPr>
          <w:sz w:val="20"/>
          <w:shd w:val="clear" w:color="auto" w:fill="FFFFFF"/>
          <w:vertAlign w:val="superscript"/>
        </w:rPr>
        <w:t>er</w:t>
      </w:r>
      <w:r w:rsidR="0027031F" w:rsidRPr="00A462AF">
        <w:rPr>
          <w:sz w:val="20"/>
          <w:shd w:val="clear" w:color="auto" w:fill="FFFFFF"/>
        </w:rPr>
        <w:t xml:space="preserve"> </w:t>
      </w:r>
      <w:r w:rsidRPr="00A462AF">
        <w:rPr>
          <w:sz w:val="20"/>
          <w:shd w:val="clear" w:color="auto" w:fill="FFFFFF"/>
        </w:rPr>
        <w:t xml:space="preserve">juillet 2022 au 30 juin 2023, la rémunération prise en compte est celle versée par le dernier employeur et corrigée selon les modalités prévues </w:t>
      </w:r>
      <w:r w:rsidR="00535192" w:rsidRPr="00A462AF">
        <w:rPr>
          <w:sz w:val="20"/>
          <w:shd w:val="clear" w:color="auto" w:fill="FFFFFF"/>
        </w:rPr>
        <w:t>à l’alinéa précédent</w:t>
      </w:r>
      <w:r w:rsidRPr="00A462AF">
        <w:rPr>
          <w:sz w:val="20"/>
          <w:shd w:val="clear" w:color="auto" w:fill="FFFFFF"/>
        </w:rPr>
        <w:t xml:space="preserve"> pour correspondre à une année pleine.</w:t>
      </w:r>
      <w:r w:rsidR="00535192" w:rsidRPr="00A462AF">
        <w:rPr>
          <w:sz w:val="20"/>
          <w:shd w:val="clear" w:color="auto" w:fill="FFFFFF"/>
        </w:rPr>
        <w:tab/>
      </w:r>
      <w:r w:rsidRPr="00A462AF">
        <w:rPr>
          <w:sz w:val="20"/>
        </w:rPr>
        <w:br/>
      </w:r>
      <w:r w:rsidRPr="00A462AF">
        <w:rPr>
          <w:sz w:val="20"/>
          <w:shd w:val="clear" w:color="auto" w:fill="FFFFFF"/>
        </w:rPr>
        <w:t xml:space="preserve">Lorsque plusieurs employeurs emploient et rémunèrent simultanément l'agent public au 30 juin 2023, la rémunération prise en compte est celle versée par chaque employeur, corrigée selon les </w:t>
      </w:r>
      <w:r w:rsidR="00535192" w:rsidRPr="00A462AF">
        <w:rPr>
          <w:sz w:val="20"/>
          <w:shd w:val="clear" w:color="auto" w:fill="FFFFFF"/>
        </w:rPr>
        <w:t xml:space="preserve">mêmes </w:t>
      </w:r>
      <w:r w:rsidRPr="00A462AF">
        <w:rPr>
          <w:sz w:val="20"/>
          <w:shd w:val="clear" w:color="auto" w:fill="FFFFFF"/>
        </w:rPr>
        <w:t xml:space="preserve">modalités </w:t>
      </w:r>
      <w:r w:rsidR="00535192" w:rsidRPr="00A462AF">
        <w:rPr>
          <w:sz w:val="20"/>
          <w:shd w:val="clear" w:color="auto" w:fill="FFFFFF"/>
        </w:rPr>
        <w:t>que ci-dessus</w:t>
      </w:r>
      <w:r w:rsidRPr="00A462AF">
        <w:rPr>
          <w:sz w:val="20"/>
          <w:shd w:val="clear" w:color="auto" w:fill="FFFFFF"/>
        </w:rPr>
        <w:t xml:space="preserve"> pour correspondre à une année pleine.</w:t>
      </w:r>
    </w:p>
    <w:p w:rsidR="00E53BC5" w:rsidRPr="00A462AF" w:rsidRDefault="00E53BC5" w:rsidP="00241729">
      <w:pPr>
        <w:pStyle w:val="articleRI"/>
        <w:numPr>
          <w:ilvl w:val="0"/>
          <w:numId w:val="5"/>
        </w:numPr>
        <w:jc w:val="both"/>
        <w:rPr>
          <w:sz w:val="20"/>
        </w:rPr>
      </w:pPr>
      <w:r w:rsidRPr="00A462AF">
        <w:rPr>
          <w:sz w:val="20"/>
        </w:rPr>
        <w:t>Mo</w:t>
      </w:r>
      <w:r w:rsidR="00AA0067" w:rsidRPr="00A462AF">
        <w:rPr>
          <w:sz w:val="20"/>
        </w:rPr>
        <w:t>ntants</w:t>
      </w:r>
    </w:p>
    <w:p w:rsidR="00AA0067" w:rsidRPr="00A462AF" w:rsidRDefault="00AA0067" w:rsidP="00241729">
      <w:pPr>
        <w:shd w:val="clear" w:color="auto" w:fill="FFFFFF"/>
        <w:spacing w:after="240"/>
        <w:jc w:val="both"/>
        <w:rPr>
          <w:rFonts w:ascii="Tahoma" w:hAnsi="Tahoma" w:cs="Tahoma"/>
          <w:color w:val="000000"/>
        </w:rPr>
      </w:pPr>
      <w:r w:rsidRPr="00A462AF">
        <w:rPr>
          <w:rFonts w:ascii="Tahoma" w:hAnsi="Tahoma" w:cs="Tahoma"/>
          <w:color w:val="000000"/>
        </w:rPr>
        <w:t>Le montant de la prime exceptionnelle forfaitaire prévue à l'article 1</w:t>
      </w:r>
      <w:r w:rsidRPr="00A462AF">
        <w:rPr>
          <w:rFonts w:ascii="Tahoma" w:hAnsi="Tahoma" w:cs="Tahoma"/>
          <w:color w:val="000000"/>
          <w:vertAlign w:val="superscript"/>
        </w:rPr>
        <w:t>er</w:t>
      </w:r>
      <w:r w:rsidR="00241729" w:rsidRPr="00A462AF">
        <w:rPr>
          <w:rFonts w:ascii="Tahoma" w:hAnsi="Tahoma" w:cs="Tahoma"/>
          <w:color w:val="000000"/>
        </w:rPr>
        <w:t xml:space="preserve"> </w:t>
      </w:r>
      <w:r w:rsidRPr="00A462AF">
        <w:rPr>
          <w:rFonts w:ascii="Tahoma" w:hAnsi="Tahoma" w:cs="Tahoma"/>
          <w:color w:val="000000"/>
        </w:rPr>
        <w:t xml:space="preserve">est modulé en fonction de la rémunération brute définie à l'article </w:t>
      </w:r>
      <w:r w:rsidR="00241729" w:rsidRPr="00A462AF">
        <w:rPr>
          <w:rFonts w:ascii="Tahoma" w:hAnsi="Tahoma" w:cs="Tahoma"/>
          <w:color w:val="000000"/>
        </w:rPr>
        <w:t>II</w:t>
      </w:r>
      <w:r w:rsidRPr="00A462AF">
        <w:rPr>
          <w:rFonts w:ascii="Tahoma" w:hAnsi="Tahoma" w:cs="Tahoma"/>
          <w:color w:val="000000"/>
        </w:rPr>
        <w:t xml:space="preserve"> selon le barème suivant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9"/>
        <w:gridCol w:w="3220"/>
      </w:tblGrid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Rémunération brute perçue au titre de la période courant du 1</w:t>
            </w:r>
            <w:r w:rsidRPr="00A462AF">
              <w:rPr>
                <w:rFonts w:ascii="Tahoma" w:hAnsi="Tahoma" w:cs="Tahoma"/>
                <w:bCs/>
                <w:vertAlign w:val="superscript"/>
              </w:rPr>
              <w:t>er</w:t>
            </w:r>
            <w:r w:rsidR="000D1C87" w:rsidRPr="00A462AF">
              <w:rPr>
                <w:rFonts w:ascii="Tahoma" w:hAnsi="Tahoma" w:cs="Tahoma"/>
                <w:bCs/>
              </w:rPr>
              <w:t xml:space="preserve"> </w:t>
            </w:r>
            <w:r w:rsidRPr="00A462AF">
              <w:rPr>
                <w:rFonts w:ascii="Tahoma" w:hAnsi="Tahoma" w:cs="Tahoma"/>
                <w:bCs/>
              </w:rPr>
              <w:t>juillet 2022 au 30 juin 2023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Montant de la prime de pouvoir d'achat</w:t>
            </w:r>
          </w:p>
        </w:tc>
      </w:tr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Inférieure ou égale à 23 700 €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800 €</w:t>
            </w:r>
          </w:p>
        </w:tc>
      </w:tr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Supérieure à 23 700 € et inférieure ou égale à 27 300 €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700 €</w:t>
            </w:r>
          </w:p>
        </w:tc>
      </w:tr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Supérieure à 27 300 € et inférieure ou égale à 29 160 €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600 €</w:t>
            </w:r>
          </w:p>
        </w:tc>
      </w:tr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Supérieure à 29 160 € et inférieure ou égale à 30 840 €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500 €</w:t>
            </w:r>
          </w:p>
        </w:tc>
      </w:tr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Supérieure à 30 840 € et inférieure ou égale à 32 280 €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400 €</w:t>
            </w:r>
          </w:p>
        </w:tc>
      </w:tr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lastRenderedPageBreak/>
              <w:t>Supérieure à 32 280 € et inférieure ou égale à 33 600 €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350 €</w:t>
            </w:r>
          </w:p>
        </w:tc>
      </w:tr>
      <w:tr w:rsidR="00AA0067" w:rsidRPr="00A462AF" w:rsidTr="00535192">
        <w:trPr>
          <w:trHeight w:hRule="exact" w:val="567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Supérieure à 33 600 € et inférieure ou égale à 39 000 €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0067" w:rsidRPr="00A462AF" w:rsidRDefault="00AA0067" w:rsidP="00241729">
            <w:pPr>
              <w:spacing w:after="300"/>
              <w:jc w:val="both"/>
              <w:rPr>
                <w:rFonts w:ascii="Tahoma" w:hAnsi="Tahoma" w:cs="Tahoma"/>
                <w:bCs/>
              </w:rPr>
            </w:pPr>
            <w:r w:rsidRPr="00A462AF">
              <w:rPr>
                <w:rFonts w:ascii="Tahoma" w:hAnsi="Tahoma" w:cs="Tahoma"/>
                <w:bCs/>
              </w:rPr>
              <w:t>300 €</w:t>
            </w:r>
          </w:p>
        </w:tc>
      </w:tr>
    </w:tbl>
    <w:p w:rsidR="00AA0067" w:rsidRPr="00A462AF" w:rsidRDefault="00AA0067" w:rsidP="00241729">
      <w:pPr>
        <w:shd w:val="clear" w:color="auto" w:fill="FFFFFF"/>
        <w:spacing w:after="240"/>
        <w:jc w:val="both"/>
        <w:rPr>
          <w:rFonts w:ascii="Tahoma" w:hAnsi="Tahoma" w:cs="Tahoma"/>
          <w:color w:val="000000"/>
        </w:rPr>
      </w:pPr>
      <w:r w:rsidRPr="00A462AF">
        <w:rPr>
          <w:rFonts w:ascii="Tahoma" w:hAnsi="Tahoma" w:cs="Tahoma"/>
          <w:color w:val="000000"/>
        </w:rPr>
        <w:br/>
        <w:t>Le montant de la prime est réduit à proportion de la quotité de travail et de la durée d'emploi sur la période de référence du 1</w:t>
      </w:r>
      <w:r w:rsidRPr="00A462AF">
        <w:rPr>
          <w:rFonts w:ascii="Tahoma" w:hAnsi="Tahoma" w:cs="Tahoma"/>
          <w:color w:val="000000"/>
          <w:vertAlign w:val="superscript"/>
        </w:rPr>
        <w:t>er</w:t>
      </w:r>
      <w:r w:rsidR="00535192" w:rsidRPr="00A462AF">
        <w:rPr>
          <w:rFonts w:ascii="Tahoma" w:hAnsi="Tahoma" w:cs="Tahoma"/>
          <w:color w:val="000000"/>
        </w:rPr>
        <w:t xml:space="preserve"> </w:t>
      </w:r>
      <w:r w:rsidRPr="00A462AF">
        <w:rPr>
          <w:rFonts w:ascii="Tahoma" w:hAnsi="Tahoma" w:cs="Tahoma"/>
          <w:color w:val="000000"/>
        </w:rPr>
        <w:t>juillet 2022 au 30 juin 2023.</w:t>
      </w:r>
    </w:p>
    <w:p w:rsidR="00E53BC5" w:rsidRPr="00A462AF" w:rsidRDefault="000D1C87" w:rsidP="00241729">
      <w:pPr>
        <w:pStyle w:val="articleRI"/>
        <w:numPr>
          <w:ilvl w:val="0"/>
          <w:numId w:val="5"/>
        </w:numPr>
        <w:jc w:val="both"/>
        <w:rPr>
          <w:sz w:val="20"/>
        </w:rPr>
      </w:pPr>
      <w:r w:rsidRPr="00A462AF">
        <w:rPr>
          <w:sz w:val="20"/>
        </w:rPr>
        <w:t>Cumul</w:t>
      </w:r>
    </w:p>
    <w:p w:rsidR="00A462AF" w:rsidRPr="00A462AF" w:rsidRDefault="00A462AF" w:rsidP="00A462AF">
      <w:pPr>
        <w:pStyle w:val="articleRI"/>
        <w:jc w:val="both"/>
        <w:rPr>
          <w:sz w:val="20"/>
        </w:rPr>
      </w:pPr>
      <w:r w:rsidRPr="00A462AF">
        <w:rPr>
          <w:sz w:val="20"/>
        </w:rPr>
        <w:t xml:space="preserve">La </w:t>
      </w:r>
      <w:r w:rsidRPr="00A462AF">
        <w:rPr>
          <w:sz w:val="20"/>
        </w:rPr>
        <w:t>prime de pouvoir de pouvoir d’achat exceptionnelle</w:t>
      </w:r>
      <w:r>
        <w:rPr>
          <w:sz w:val="20"/>
        </w:rPr>
        <w:t xml:space="preserve"> est cumulable avec toute autre prime ou indemnité perçue par l’agent, à l’exception de la prime prévue par le décret n° 2023-702 du 31 juillet 2023 </w:t>
      </w:r>
      <w:r w:rsidRPr="00A462AF">
        <w:rPr>
          <w:color w:val="000000"/>
          <w:sz w:val="20"/>
        </w:rPr>
        <w:t xml:space="preserve">portant création d’une prime de pouvoir d’achat exceptionnelle </w:t>
      </w:r>
      <w:r>
        <w:rPr>
          <w:sz w:val="20"/>
        </w:rPr>
        <w:t>pour la fonction publique de l’Etat et la fonction publique hospitalière.</w:t>
      </w:r>
    </w:p>
    <w:p w:rsidR="000D1C87" w:rsidRPr="00A462AF" w:rsidRDefault="000D1C87" w:rsidP="000D1C87">
      <w:pPr>
        <w:pStyle w:val="articleRI"/>
        <w:numPr>
          <w:ilvl w:val="0"/>
          <w:numId w:val="5"/>
        </w:numPr>
        <w:jc w:val="both"/>
        <w:rPr>
          <w:sz w:val="20"/>
        </w:rPr>
      </w:pPr>
      <w:r w:rsidRPr="00A462AF">
        <w:rPr>
          <w:sz w:val="20"/>
        </w:rPr>
        <w:t>Versement</w:t>
      </w:r>
    </w:p>
    <w:p w:rsidR="00AA0067" w:rsidRPr="00A462AF" w:rsidRDefault="00A462AF" w:rsidP="00241729">
      <w:pPr>
        <w:pStyle w:val="articleRI"/>
        <w:jc w:val="both"/>
        <w:rPr>
          <w:sz w:val="20"/>
          <w:shd w:val="clear" w:color="auto" w:fill="FFFFFF"/>
        </w:rPr>
      </w:pPr>
      <w:r w:rsidRPr="00A462AF">
        <w:rPr>
          <w:sz w:val="20"/>
        </w:rPr>
        <w:t xml:space="preserve">La prime de pouvoir de pouvoir d’achat exceptionnelle </w:t>
      </w:r>
      <w:r w:rsidR="00AA0067" w:rsidRPr="00A462AF">
        <w:rPr>
          <w:sz w:val="20"/>
          <w:shd w:val="clear" w:color="auto" w:fill="FFFFFF"/>
        </w:rPr>
        <w:t xml:space="preserve">est versée en une </w:t>
      </w:r>
      <w:bookmarkStart w:id="0" w:name="_GoBack"/>
      <w:bookmarkEnd w:id="0"/>
      <w:r w:rsidRPr="00A462AF">
        <w:rPr>
          <w:sz w:val="20"/>
          <w:shd w:val="clear" w:color="auto" w:fill="FFFFFF"/>
        </w:rPr>
        <w:t xml:space="preserve">ou plusieurs fractions </w:t>
      </w:r>
      <w:r w:rsidR="00AA0067" w:rsidRPr="00A462AF">
        <w:rPr>
          <w:sz w:val="20"/>
          <w:shd w:val="clear" w:color="auto" w:fill="FFFFFF"/>
        </w:rPr>
        <w:t>par l'employeur public qui emploie et rémunère l'agent au 30 juin 2023.</w:t>
      </w:r>
      <w:r w:rsidR="00535192" w:rsidRPr="00A462AF">
        <w:rPr>
          <w:sz w:val="20"/>
          <w:shd w:val="clear" w:color="auto" w:fill="FFFFFF"/>
        </w:rPr>
        <w:tab/>
      </w:r>
      <w:r w:rsidR="00AA0067" w:rsidRPr="00A462AF">
        <w:rPr>
          <w:sz w:val="20"/>
        </w:rPr>
        <w:br/>
      </w:r>
      <w:r w:rsidR="00AA0067" w:rsidRPr="00A462AF">
        <w:rPr>
          <w:sz w:val="20"/>
          <w:shd w:val="clear" w:color="auto" w:fill="FFFFFF"/>
        </w:rPr>
        <w:t>Lorsque plusieurs employeurs emploient et rémunèrent l'agent public au 30 juin 2023, chaque employeur verse la prime selon les mo</w:t>
      </w:r>
      <w:r w:rsidR="0027031F" w:rsidRPr="00A462AF">
        <w:rPr>
          <w:sz w:val="20"/>
          <w:shd w:val="clear" w:color="auto" w:fill="FFFFFF"/>
        </w:rPr>
        <w:t>ntants ci-dessus</w:t>
      </w:r>
      <w:r w:rsidR="00AA0067" w:rsidRPr="00A462AF">
        <w:rPr>
          <w:sz w:val="20"/>
          <w:shd w:val="clear" w:color="auto" w:fill="FFFFFF"/>
        </w:rPr>
        <w:t xml:space="preserve">, après avoir corrigé la rémunération selon les modalités prévues au III de l'article </w:t>
      </w:r>
      <w:r w:rsidR="0027031F" w:rsidRPr="00A462AF">
        <w:rPr>
          <w:sz w:val="20"/>
          <w:shd w:val="clear" w:color="auto" w:fill="FFFFFF"/>
        </w:rPr>
        <w:t>1.</w:t>
      </w:r>
    </w:p>
    <w:p w:rsidR="00E53BC5" w:rsidRPr="00A462AF" w:rsidRDefault="00E53BC5" w:rsidP="00241729">
      <w:pPr>
        <w:pStyle w:val="articleRI"/>
        <w:numPr>
          <w:ilvl w:val="0"/>
          <w:numId w:val="5"/>
        </w:numPr>
        <w:jc w:val="both"/>
        <w:rPr>
          <w:sz w:val="20"/>
        </w:rPr>
      </w:pPr>
      <w:r w:rsidRPr="00A462AF">
        <w:rPr>
          <w:sz w:val="20"/>
        </w:rPr>
        <w:t>Date d'effet</w:t>
      </w:r>
    </w:p>
    <w:p w:rsidR="00E53BC5" w:rsidRPr="00A462AF" w:rsidRDefault="000D1C87" w:rsidP="00241729">
      <w:pPr>
        <w:pStyle w:val="paragrapheri"/>
        <w:ind w:left="-142"/>
        <w:rPr>
          <w:rFonts w:ascii="Tahoma" w:hAnsi="Tahoma" w:cs="Tahoma"/>
        </w:rPr>
      </w:pPr>
      <w:r w:rsidRPr="00A462AF">
        <w:rPr>
          <w:rFonts w:ascii="Tahoma" w:hAnsi="Tahoma" w:cs="Tahoma"/>
        </w:rPr>
        <w:t xml:space="preserve">La prime de pouvoir de pouvoir d’achat exceptionnelle sera versée au mois de … </w:t>
      </w:r>
      <w:proofErr w:type="gramStart"/>
      <w:r w:rsidRPr="00A462AF">
        <w:rPr>
          <w:rFonts w:ascii="Tahoma" w:hAnsi="Tahoma" w:cs="Tahoma"/>
        </w:rPr>
        <w:t>202  (</w:t>
      </w:r>
      <w:proofErr w:type="gramEnd"/>
      <w:r w:rsidRPr="00A462AF">
        <w:rPr>
          <w:rFonts w:ascii="Tahoma" w:hAnsi="Tahoma" w:cs="Tahoma"/>
        </w:rPr>
        <w:t xml:space="preserve">au plus tard </w:t>
      </w:r>
      <w:r w:rsidR="00A462AF" w:rsidRPr="00A462AF">
        <w:rPr>
          <w:rFonts w:ascii="Tahoma" w:hAnsi="Tahoma" w:cs="Tahoma"/>
        </w:rPr>
        <w:t>le 30 juin 2024)</w:t>
      </w:r>
    </w:p>
    <w:p w:rsidR="00E53BC5" w:rsidRPr="00A462AF" w:rsidRDefault="00E53BC5" w:rsidP="00241729">
      <w:pPr>
        <w:pStyle w:val="articleRI"/>
        <w:jc w:val="both"/>
        <w:rPr>
          <w:sz w:val="20"/>
        </w:rPr>
      </w:pPr>
      <w:r w:rsidRPr="00A462AF">
        <w:rPr>
          <w:sz w:val="20"/>
        </w:rPr>
        <w:t>Crédits budgétaires</w:t>
      </w:r>
    </w:p>
    <w:p w:rsidR="00E53BC5" w:rsidRPr="00A462AF" w:rsidRDefault="00E53BC5" w:rsidP="00241729">
      <w:pPr>
        <w:pStyle w:val="paragrapheri"/>
        <w:ind w:left="-142"/>
        <w:rPr>
          <w:rFonts w:ascii="Tahoma" w:hAnsi="Tahoma" w:cs="Tahoma"/>
        </w:rPr>
      </w:pPr>
      <w:r w:rsidRPr="00A462AF">
        <w:rPr>
          <w:rFonts w:ascii="Tahoma" w:hAnsi="Tahoma" w:cs="Tahoma"/>
        </w:rPr>
        <w:t>Les crédits correspondants seront prévus et inscrits au budget.</w:t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r w:rsidRPr="00A462AF">
        <w:rPr>
          <w:rFonts w:ascii="Tahoma" w:hAnsi="Tahoma" w:cs="Tahoma"/>
        </w:rPr>
        <w:tab/>
        <w:t>Fait et délibéré à …</w:t>
      </w:r>
      <w:proofErr w:type="gramStart"/>
      <w:r w:rsidRPr="00A462AF">
        <w:rPr>
          <w:rFonts w:ascii="Tahoma" w:hAnsi="Tahoma" w:cs="Tahoma"/>
        </w:rPr>
        <w:t>…….</w:t>
      </w:r>
      <w:proofErr w:type="gramEnd"/>
      <w:r w:rsidRPr="00A462AF">
        <w:rPr>
          <w:rFonts w:ascii="Tahoma" w:hAnsi="Tahoma" w:cs="Tahoma"/>
        </w:rPr>
        <w:t>…………</w:t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r w:rsidRPr="00A462AF">
        <w:rPr>
          <w:rFonts w:ascii="Tahoma" w:hAnsi="Tahoma" w:cs="Tahoma"/>
        </w:rPr>
        <w:tab/>
      </w:r>
      <w:proofErr w:type="gramStart"/>
      <w:r w:rsidRPr="00A462AF">
        <w:rPr>
          <w:rFonts w:ascii="Tahoma" w:hAnsi="Tahoma" w:cs="Tahoma"/>
        </w:rPr>
        <w:t>en</w:t>
      </w:r>
      <w:proofErr w:type="gramEnd"/>
      <w:r w:rsidRPr="00A462AF">
        <w:rPr>
          <w:rFonts w:ascii="Tahoma" w:hAnsi="Tahoma" w:cs="Tahoma"/>
        </w:rPr>
        <w:t xml:space="preserve"> séance du ……………………..,</w:t>
      </w:r>
    </w:p>
    <w:p w:rsidR="00E53BC5" w:rsidRPr="00A462AF" w:rsidRDefault="00E53BC5" w:rsidP="00241729">
      <w:pPr>
        <w:pStyle w:val="Index1"/>
        <w:ind w:left="-142"/>
        <w:rPr>
          <w:rFonts w:ascii="Tahoma" w:hAnsi="Tahoma" w:cs="Tahoma"/>
        </w:rPr>
      </w:pPr>
      <w:r w:rsidRPr="00A462AF">
        <w:rPr>
          <w:rFonts w:ascii="Tahoma" w:hAnsi="Tahoma" w:cs="Tahoma"/>
        </w:rPr>
        <w:tab/>
        <w:t>Le Maire ou Le Président,</w:t>
      </w:r>
    </w:p>
    <w:p w:rsidR="00E53BC5" w:rsidRPr="00A462AF" w:rsidRDefault="00E53BC5" w:rsidP="00241729">
      <w:pPr>
        <w:pStyle w:val="Index1"/>
        <w:ind w:left="-142"/>
        <w:rPr>
          <w:rFonts w:ascii="Tahoma" w:hAnsi="Tahoma" w:cs="Tahoma"/>
        </w:rPr>
      </w:pPr>
      <w:r w:rsidRPr="00A462AF">
        <w:rPr>
          <w:rFonts w:ascii="Tahoma" w:hAnsi="Tahoma" w:cs="Tahoma"/>
        </w:rPr>
        <w:tab/>
        <w:t>(</w:t>
      </w:r>
      <w:proofErr w:type="gramStart"/>
      <w:r w:rsidRPr="00A462AF">
        <w:rPr>
          <w:rFonts w:ascii="Tahoma" w:hAnsi="Tahoma" w:cs="Tahoma"/>
        </w:rPr>
        <w:t>cachet</w:t>
      </w:r>
      <w:proofErr w:type="gramEnd"/>
      <w:r w:rsidRPr="00A462AF">
        <w:rPr>
          <w:rFonts w:ascii="Tahoma" w:hAnsi="Tahoma" w:cs="Tahoma"/>
        </w:rPr>
        <w:t xml:space="preserve"> et signature de </w:t>
      </w:r>
    </w:p>
    <w:p w:rsidR="00E53BC5" w:rsidRPr="00A462AF" w:rsidRDefault="00E53BC5" w:rsidP="00241729">
      <w:pPr>
        <w:pStyle w:val="Index1"/>
        <w:ind w:left="-142"/>
        <w:rPr>
          <w:rFonts w:ascii="Tahoma" w:hAnsi="Tahoma" w:cs="Tahoma"/>
        </w:rPr>
      </w:pPr>
      <w:r w:rsidRPr="00A462AF">
        <w:rPr>
          <w:rFonts w:ascii="Tahoma" w:hAnsi="Tahoma" w:cs="Tahoma"/>
        </w:rPr>
        <w:tab/>
      </w:r>
      <w:proofErr w:type="gramStart"/>
      <w:r w:rsidRPr="00A462AF">
        <w:rPr>
          <w:rFonts w:ascii="Tahoma" w:hAnsi="Tahoma" w:cs="Tahoma"/>
        </w:rPr>
        <w:t>l’autorité</w:t>
      </w:r>
      <w:proofErr w:type="gramEnd"/>
      <w:r w:rsidRPr="00A462AF">
        <w:rPr>
          <w:rFonts w:ascii="Tahoma" w:hAnsi="Tahoma" w:cs="Tahoma"/>
        </w:rPr>
        <w:t xml:space="preserve"> territoriale)</w:t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r w:rsidRPr="00A462AF">
        <w:rPr>
          <w:rFonts w:ascii="Tahoma" w:hAnsi="Tahoma" w:cs="Tahoma"/>
        </w:rPr>
        <w:tab/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r w:rsidRPr="00A462AF">
        <w:rPr>
          <w:rFonts w:ascii="Tahoma" w:hAnsi="Tahoma" w:cs="Tahoma"/>
        </w:rPr>
        <w:t>Visa de la Préfecture :</w:t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r w:rsidRPr="00A462AF">
        <w:rPr>
          <w:rFonts w:ascii="Tahoma" w:hAnsi="Tahoma" w:cs="Tahoma"/>
        </w:rPr>
        <w:t>Délibération rendue exécutoire par</w:t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proofErr w:type="gramStart"/>
      <w:r w:rsidRPr="00A462AF">
        <w:rPr>
          <w:rFonts w:ascii="Tahoma" w:hAnsi="Tahoma" w:cs="Tahoma"/>
        </w:rPr>
        <w:t>publication</w:t>
      </w:r>
      <w:proofErr w:type="gramEnd"/>
      <w:r w:rsidRPr="00A462AF">
        <w:rPr>
          <w:rFonts w:ascii="Tahoma" w:hAnsi="Tahoma" w:cs="Tahoma"/>
        </w:rPr>
        <w:t xml:space="preserve"> et/ou notification à compter</w:t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proofErr w:type="gramStart"/>
      <w:r w:rsidRPr="00A462AF">
        <w:rPr>
          <w:rFonts w:ascii="Tahoma" w:hAnsi="Tahoma" w:cs="Tahoma"/>
        </w:rPr>
        <w:t>du</w:t>
      </w:r>
      <w:proofErr w:type="gramEnd"/>
      <w:r w:rsidRPr="00A462AF">
        <w:rPr>
          <w:rFonts w:ascii="Tahoma" w:hAnsi="Tahoma" w:cs="Tahoma"/>
        </w:rPr>
        <w:t>………………………..</w:t>
      </w: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</w:p>
    <w:p w:rsidR="00E53BC5" w:rsidRPr="00A462AF" w:rsidRDefault="00E53BC5" w:rsidP="00241729">
      <w:pPr>
        <w:tabs>
          <w:tab w:val="left" w:pos="7088"/>
        </w:tabs>
        <w:ind w:left="-142"/>
        <w:jc w:val="both"/>
        <w:rPr>
          <w:rFonts w:ascii="Tahoma" w:hAnsi="Tahoma" w:cs="Tahoma"/>
        </w:rPr>
      </w:pPr>
      <w:r w:rsidRPr="00A462AF">
        <w:rPr>
          <w:rFonts w:ascii="Tahoma" w:hAnsi="Tahoma" w:cs="Tahoma"/>
        </w:rPr>
        <w:t>Le Maire ou le Président</w:t>
      </w:r>
    </w:p>
    <w:p w:rsidR="006F7282" w:rsidRPr="00A462AF" w:rsidRDefault="006F7282" w:rsidP="00241729">
      <w:pPr>
        <w:ind w:left="-142"/>
        <w:jc w:val="both"/>
        <w:rPr>
          <w:rFonts w:ascii="Tahoma" w:hAnsi="Tahoma" w:cs="Tahoma"/>
        </w:rPr>
      </w:pPr>
    </w:p>
    <w:sectPr w:rsidR="006F7282" w:rsidRPr="00A462AF" w:rsidSect="00065D5E">
      <w:pgSz w:w="11907" w:h="16840" w:code="9"/>
      <w:pgMar w:top="709" w:right="567" w:bottom="142" w:left="851" w:header="0" w:footer="851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5E" w:rsidRDefault="0001765E">
      <w:r>
        <w:separator/>
      </w:r>
    </w:p>
  </w:endnote>
  <w:endnote w:type="continuationSeparator" w:id="0">
    <w:p w:rsidR="0001765E" w:rsidRDefault="0001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5E" w:rsidRDefault="0001765E">
      <w:r>
        <w:separator/>
      </w:r>
    </w:p>
  </w:footnote>
  <w:footnote w:type="continuationSeparator" w:id="0">
    <w:p w:rsidR="0001765E" w:rsidRDefault="0001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F9E"/>
    <w:multiLevelType w:val="hybridMultilevel"/>
    <w:tmpl w:val="65444D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18E8"/>
    <w:multiLevelType w:val="hybridMultilevel"/>
    <w:tmpl w:val="FCFCE88A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B25A8"/>
    <w:multiLevelType w:val="hybridMultilevel"/>
    <w:tmpl w:val="4D40EE98"/>
    <w:lvl w:ilvl="0" w:tplc="6E0AF4D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BF2128"/>
    <w:multiLevelType w:val="hybridMultilevel"/>
    <w:tmpl w:val="FCFCE88A"/>
    <w:lvl w:ilvl="0" w:tplc="EEC20D3E">
      <w:start w:val="1"/>
      <w:numFmt w:val="bullet"/>
      <w:pStyle w:val="retraitripuce"/>
      <w:lvlText w:val=""/>
      <w:lvlJc w:val="left"/>
      <w:pPr>
        <w:tabs>
          <w:tab w:val="num" w:pos="927"/>
        </w:tabs>
        <w:ind w:left="57" w:firstLine="51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7EA"/>
    <w:multiLevelType w:val="hybridMultilevel"/>
    <w:tmpl w:val="92FC7A7A"/>
    <w:lvl w:ilvl="0" w:tplc="97A06548">
      <w:start w:val="44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A6711A"/>
    <w:multiLevelType w:val="hybridMultilevel"/>
    <w:tmpl w:val="7E76DB5A"/>
    <w:lvl w:ilvl="0" w:tplc="EE34CE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C5"/>
    <w:rsid w:val="0001765E"/>
    <w:rsid w:val="000D1C87"/>
    <w:rsid w:val="00241729"/>
    <w:rsid w:val="0027031F"/>
    <w:rsid w:val="003B6EA3"/>
    <w:rsid w:val="00535192"/>
    <w:rsid w:val="0056155D"/>
    <w:rsid w:val="006F7282"/>
    <w:rsid w:val="007F62FE"/>
    <w:rsid w:val="00902D6C"/>
    <w:rsid w:val="00A462AF"/>
    <w:rsid w:val="00AA0067"/>
    <w:rsid w:val="00AF72AB"/>
    <w:rsid w:val="00C2726A"/>
    <w:rsid w:val="00E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20CA"/>
  <w15:chartTrackingRefBased/>
  <w15:docId w15:val="{79D7ED9C-B9C1-4641-A621-C8B421A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53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53BC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E53BC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53BC5"/>
    <w:pPr>
      <w:tabs>
        <w:tab w:val="left" w:pos="7088"/>
      </w:tabs>
      <w:spacing w:before="120"/>
      <w:ind w:left="284"/>
      <w:jc w:val="both"/>
    </w:pPr>
    <w:rPr>
      <w:rFonts w:ascii="Arial" w:hAnsi="Arial"/>
    </w:rPr>
  </w:style>
  <w:style w:type="paragraph" w:customStyle="1" w:styleId="articleRI">
    <w:name w:val="article RI"/>
    <w:basedOn w:val="Normal"/>
    <w:autoRedefine/>
    <w:rsid w:val="00AA0067"/>
    <w:pPr>
      <w:widowControl w:val="0"/>
      <w:tabs>
        <w:tab w:val="right" w:pos="9000"/>
      </w:tabs>
      <w:spacing w:before="360" w:after="120"/>
      <w:ind w:left="-142" w:right="74"/>
    </w:pPr>
    <w:rPr>
      <w:rFonts w:ascii="Tahoma" w:hAnsi="Tahoma" w:cs="Tahoma"/>
      <w:bCs/>
      <w:snapToGrid w:val="0"/>
      <w:sz w:val="24"/>
    </w:rPr>
  </w:style>
  <w:style w:type="paragraph" w:customStyle="1" w:styleId="paragrapheri">
    <w:name w:val="paragraphe ri"/>
    <w:basedOn w:val="Retraitcorpsdetexte"/>
    <w:rsid w:val="00E53BC5"/>
    <w:pPr>
      <w:widowControl w:val="0"/>
      <w:ind w:left="284"/>
      <w:jc w:val="both"/>
    </w:pPr>
    <w:rPr>
      <w:rFonts w:ascii="Arial" w:hAnsi="Arial" w:cs="Arial"/>
      <w:snapToGrid w:val="0"/>
      <w:color w:val="000000"/>
    </w:rPr>
  </w:style>
  <w:style w:type="paragraph" w:customStyle="1" w:styleId="retraitripuce">
    <w:name w:val="retrait ri puce"/>
    <w:basedOn w:val="Normal"/>
    <w:autoRedefine/>
    <w:rsid w:val="00E53BC5"/>
    <w:pPr>
      <w:numPr>
        <w:numId w:val="1"/>
      </w:numPr>
    </w:pPr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53B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3BC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53BC5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E53BC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02D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D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3B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0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3189&amp;idArticle=LEGIARTI000037065620&amp;dateTexte=&amp;categorieLien=c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69577&amp;idArticle=LEGIARTI000006302566&amp;dateTexte=&amp;categorieLien=c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Article.do?cidTexte=JORFTEXT000038168767&amp;idArticle=JORFARTI000038168808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Article.do?cidTexte=JORFTEXT000018934143&amp;idArticle=JORFARTI000018934152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A645-4EC5-46E3-A9A6-200E903C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CDG01</dc:creator>
  <cp:keywords/>
  <dc:description/>
  <cp:lastModifiedBy>Pierre MATHIEU</cp:lastModifiedBy>
  <cp:revision>6</cp:revision>
  <dcterms:created xsi:type="dcterms:W3CDTF">2020-02-20T15:27:00Z</dcterms:created>
  <dcterms:modified xsi:type="dcterms:W3CDTF">2023-11-02T14:15:00Z</dcterms:modified>
</cp:coreProperties>
</file>