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44" w:rsidRDefault="001346C4">
      <w:pPr>
        <w:pStyle w:val="WW-Lgende"/>
        <w:jc w:val="center"/>
      </w:pPr>
      <w:bookmarkStart w:id="0" w:name="_GoBack"/>
      <w:bookmarkEnd w:id="0"/>
      <w:r>
        <w:rPr>
          <w:rFonts w:ascii="Arial" w:hAnsi="Arial" w:cs="Arial"/>
          <w:b/>
        </w:rPr>
        <w:t xml:space="preserve">Acte constitutif d’une régie d’avances. Modèle de décision </w:t>
      </w:r>
      <w:r>
        <w:rPr>
          <w:rFonts w:ascii="Arial" w:hAnsi="Arial" w:cs="Arial"/>
          <w:b/>
          <w:sz w:val="16"/>
        </w:rPr>
        <w:t>(1)</w:t>
      </w:r>
    </w:p>
    <w:p w:rsidR="00625044" w:rsidRDefault="001346C4">
      <w:pPr>
        <w:pStyle w:val="Standard"/>
        <w:tabs>
          <w:tab w:val="left" w:pos="2552"/>
        </w:tabs>
      </w:pPr>
      <w:r>
        <w:rPr>
          <w:rFonts w:ascii="Arial" w:hAnsi="Arial" w:cs="Arial"/>
        </w:rPr>
        <w:t>Le ..............................................</w:t>
      </w:r>
      <w:r>
        <w:rPr>
          <w:rFonts w:ascii="Arial" w:hAnsi="Arial" w:cs="Arial"/>
          <w:sz w:val="16"/>
        </w:rPr>
        <w:t>(2)</w:t>
      </w:r>
    </w:p>
    <w:p w:rsidR="00625044" w:rsidRDefault="00625044">
      <w:pPr>
        <w:pStyle w:val="Standard"/>
        <w:tabs>
          <w:tab w:val="left" w:pos="2552"/>
        </w:tabs>
        <w:jc w:val="both"/>
        <w:rPr>
          <w:rFonts w:ascii="Arial" w:hAnsi="Arial" w:cs="Arial"/>
          <w:sz w:val="16"/>
        </w:rPr>
      </w:pPr>
    </w:p>
    <w:p w:rsidR="00625044" w:rsidRDefault="001346C4">
      <w:pPr>
        <w:pStyle w:val="Standard"/>
        <w:spacing w:before="120"/>
        <w:jc w:val="both"/>
      </w:pPr>
      <w:r>
        <w:rPr>
          <w:rFonts w:ascii="Arial" w:hAnsi="Arial" w:cs="Arial"/>
        </w:rPr>
        <w:t xml:space="preserve">Vu </w:t>
      </w:r>
      <w:r>
        <w:rPr>
          <w:rFonts w:ascii="Arial" w:hAnsi="Arial" w:cs="Arial"/>
          <w:sz w:val="16"/>
        </w:rPr>
        <w:t>(3)</w:t>
      </w:r>
      <w:r>
        <w:rPr>
          <w:rFonts w:ascii="Arial" w:hAnsi="Arial" w:cs="Arial"/>
        </w:rPr>
        <w:t xml:space="preserve"> l’article L.315-17 du code de l’action sociale et des familles ;</w:t>
      </w:r>
    </w:p>
    <w:p w:rsidR="00625044" w:rsidRDefault="001346C4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</w:t>
      </w:r>
      <w:r>
        <w:rPr>
          <w:rFonts w:ascii="Arial" w:hAnsi="Arial" w:cs="Arial"/>
          <w:sz w:val="16"/>
        </w:rPr>
        <w:t>(4)</w:t>
      </w:r>
      <w:r>
        <w:rPr>
          <w:rFonts w:ascii="Arial" w:hAnsi="Arial" w:cs="Arial"/>
        </w:rPr>
        <w:t xml:space="preserve"> l'article L.6143-7 du code de la santé publique ;</w:t>
      </w:r>
    </w:p>
    <w:p w:rsidR="00625044" w:rsidRDefault="001346C4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les articles R.1617-1 à R.1617-18 du code général des collectivités territoriales relatifs à la création des régies de recettes, d</w:t>
      </w:r>
      <w:r>
        <w:rPr>
          <w:rFonts w:ascii="Arial" w:hAnsi="Arial" w:cs="Arial"/>
        </w:rPr>
        <w:t>es régies d’avances et des régies de recettes et d’avances des collectivités locales et des établissements publics locaux ;</w:t>
      </w:r>
    </w:p>
    <w:p w:rsidR="00625044" w:rsidRDefault="001346C4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 2012-1246 du 7 novembre 2012 relatif à la gestion budgétaire et comptable publique, notamment l’article 22 ;</w:t>
      </w:r>
    </w:p>
    <w:p w:rsidR="00625044" w:rsidRDefault="001346C4">
      <w:pPr>
        <w:pStyle w:val="Standard"/>
        <w:spacing w:before="120"/>
        <w:jc w:val="both"/>
        <w:rPr>
          <w:rFonts w:ascii="Arial" w:hAnsi="Arial"/>
        </w:rPr>
      </w:pPr>
      <w:r>
        <w:rPr>
          <w:rStyle w:val="StrongEmphasis"/>
          <w:rFonts w:ascii="Arial" w:hAnsi="Arial" w:cs="Arial"/>
          <w:b w:val="0"/>
          <w:bCs w:val="0"/>
        </w:rPr>
        <w:t xml:space="preserve">Vu le </w:t>
      </w:r>
      <w:r>
        <w:rPr>
          <w:rStyle w:val="StrongEmphasis"/>
          <w:rFonts w:cs="Arial"/>
          <w:b w:val="0"/>
          <w:bCs w:val="0"/>
        </w:rPr>
        <w:t>d</w:t>
      </w:r>
      <w:r>
        <w:rPr>
          <w:rStyle w:val="StrongEmphasis"/>
          <w:rFonts w:ascii="Arial" w:hAnsi="Arial" w:cs="Arial"/>
          <w:b w:val="0"/>
          <w:bCs w:val="0"/>
        </w:rPr>
        <w:t>écret n° 2022-1605 du 22 décembre 2022 portant application de l'ordonnance n° 2022-408 du 23 mars 2022 relative au régime de responsabilité financière des gestionnaires publics et modifiant diverses dispositions relatives aux comptables publics ;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la dél</w:t>
      </w:r>
      <w:r>
        <w:rPr>
          <w:rFonts w:ascii="Arial" w:hAnsi="Arial" w:cs="Arial"/>
        </w:rPr>
        <w:t>ibération du conseil municipal en date du ................autorisant le maire à créer des régies communales en application de l’article L. 2122-22 al. 7 du code général des collectivités territoriales (5);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Vu l’avis conforme du comptable public assignatair</w:t>
      </w:r>
      <w:r>
        <w:rPr>
          <w:rFonts w:ascii="Arial" w:hAnsi="Arial" w:cs="Arial"/>
        </w:rPr>
        <w:t>e en date du ............................. ;</w:t>
      </w:r>
    </w:p>
    <w:p w:rsidR="00625044" w:rsidRDefault="001346C4">
      <w:pPr>
        <w:pStyle w:val="Standard"/>
        <w:tabs>
          <w:tab w:val="left" w:pos="2552"/>
        </w:tabs>
        <w:spacing w:before="240" w:after="240"/>
      </w:pPr>
      <w:r>
        <w:rPr>
          <w:rFonts w:ascii="Arial" w:hAnsi="Arial" w:cs="Arial"/>
        </w:rPr>
        <w:t>DECIDE</w:t>
      </w:r>
      <w:r>
        <w:rPr>
          <w:rFonts w:ascii="Arial" w:hAnsi="Arial" w:cs="Arial"/>
          <w:sz w:val="16"/>
        </w:rPr>
        <w:t xml:space="preserve"> (6)</w:t>
      </w:r>
    </w:p>
    <w:p w:rsidR="00625044" w:rsidRDefault="00625044">
      <w:pPr>
        <w:pStyle w:val="Standard"/>
        <w:tabs>
          <w:tab w:val="left" w:pos="2552"/>
        </w:tabs>
        <w:spacing w:before="120"/>
        <w:jc w:val="both"/>
        <w:rPr>
          <w:rFonts w:ascii="Arial" w:hAnsi="Arial" w:cs="Arial"/>
          <w:sz w:val="16"/>
        </w:rPr>
      </w:pP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>ARTICLE PREMIER - Il est institué une régie d’avances auprès du service ....................................</w:t>
      </w:r>
      <w:r>
        <w:rPr>
          <w:rFonts w:ascii="Arial" w:hAnsi="Arial" w:cs="Arial"/>
          <w:sz w:val="16"/>
        </w:rPr>
        <w:t>(7)</w:t>
      </w:r>
      <w:r>
        <w:rPr>
          <w:rFonts w:ascii="Arial" w:hAnsi="Arial" w:cs="Arial"/>
        </w:rPr>
        <w:t xml:space="preserve"> de ...................................................................... </w:t>
      </w:r>
      <w:r>
        <w:rPr>
          <w:rFonts w:ascii="Arial" w:hAnsi="Arial" w:cs="Arial"/>
          <w:sz w:val="16"/>
        </w:rPr>
        <w:t>(8)</w:t>
      </w:r>
      <w:r>
        <w:rPr>
          <w:rFonts w:ascii="Arial" w:hAnsi="Arial" w:cs="Arial"/>
        </w:rPr>
        <w:t xml:space="preserve"> 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>ARTICLE</w:t>
      </w:r>
      <w:r>
        <w:rPr>
          <w:rFonts w:ascii="Arial" w:hAnsi="Arial" w:cs="Arial"/>
        </w:rPr>
        <w:t xml:space="preserve"> 2 - Cette régie est installée à ............................................................. </w:t>
      </w:r>
      <w:r>
        <w:rPr>
          <w:rFonts w:ascii="Arial" w:hAnsi="Arial" w:cs="Arial"/>
          <w:sz w:val="16"/>
        </w:rPr>
        <w:t>(9).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>ARTICLE 3</w:t>
      </w:r>
      <w:r>
        <w:rPr>
          <w:rFonts w:ascii="Arial" w:hAnsi="Arial" w:cs="Arial"/>
          <w:sz w:val="16"/>
        </w:rPr>
        <w:t xml:space="preserve"> (10)</w:t>
      </w:r>
      <w:r>
        <w:rPr>
          <w:rFonts w:ascii="Arial" w:hAnsi="Arial" w:cs="Arial"/>
        </w:rPr>
        <w:t xml:space="preserve"> - La régie fonctionne du ............ au ............................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 xml:space="preserve">ARTICLE 4 - La régie paie les dépenses suivantes </w:t>
      </w:r>
      <w:r>
        <w:rPr>
          <w:rFonts w:ascii="Arial" w:hAnsi="Arial" w:cs="Arial"/>
          <w:sz w:val="16"/>
        </w:rPr>
        <w:t>(11)</w:t>
      </w:r>
      <w:r>
        <w:rPr>
          <w:rFonts w:ascii="Arial" w:hAnsi="Arial" w:cs="Arial"/>
        </w:rPr>
        <w:t xml:space="preserve"> :</w:t>
      </w:r>
    </w:p>
    <w:tbl>
      <w:tblPr>
        <w:tblW w:w="93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3994"/>
      </w:tblGrid>
      <w:tr w:rsidR="00625044">
        <w:tblPrEx>
          <w:tblCellMar>
            <w:top w:w="0" w:type="dxa"/>
            <w:bottom w:w="0" w:type="dxa"/>
          </w:tblCellMar>
        </w:tblPrEx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399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Compte d’imputation : 6xxx</w:t>
            </w:r>
          </w:p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Compte d’imputation : 6xxx</w:t>
            </w:r>
          </w:p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Compte d’imputation : 6xxx</w:t>
            </w:r>
          </w:p>
          <w:p w:rsidR="00625044" w:rsidRDefault="001346C4">
            <w:pPr>
              <w:pStyle w:val="Standard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Compte d’imputation : 6xxx</w:t>
            </w:r>
          </w:p>
        </w:tc>
      </w:tr>
    </w:tbl>
    <w:p w:rsidR="00625044" w:rsidRDefault="001346C4">
      <w:pPr>
        <w:pStyle w:val="Standard"/>
        <w:spacing w:before="120"/>
        <w:jc w:val="both"/>
      </w:pPr>
      <w:r>
        <w:rPr>
          <w:rFonts w:ascii="Arial" w:hAnsi="Arial" w:cs="Arial"/>
        </w:rPr>
        <w:t>ARTICLE 5 - Les dépenses désignées à l’article 4 sont payées selon les modes de règlement suivants </w:t>
      </w:r>
      <w:r>
        <w:rPr>
          <w:rFonts w:ascii="Arial" w:hAnsi="Arial" w:cs="Arial"/>
          <w:sz w:val="16"/>
        </w:rPr>
        <w:t>(11)</w:t>
      </w:r>
      <w:r>
        <w:rPr>
          <w:rFonts w:ascii="Arial" w:hAnsi="Arial" w:cs="Arial"/>
        </w:rPr>
        <w:t xml:space="preserve"> :</w:t>
      </w:r>
    </w:p>
    <w:p w:rsidR="00625044" w:rsidRDefault="001346C4">
      <w:pPr>
        <w:pStyle w:val="Standard"/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1° : .....</w:t>
      </w:r>
      <w:r>
        <w:rPr>
          <w:rFonts w:ascii="Arial" w:hAnsi="Arial" w:cs="Arial"/>
        </w:rPr>
        <w:t>.........................................................               ;</w:t>
      </w:r>
    </w:p>
    <w:p w:rsidR="00625044" w:rsidRDefault="001346C4">
      <w:pPr>
        <w:pStyle w:val="Standard"/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2° : ..............................................................               ;</w:t>
      </w:r>
    </w:p>
    <w:p w:rsidR="00625044" w:rsidRDefault="001346C4">
      <w:pPr>
        <w:pStyle w:val="Standard"/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3° : ..............................................................               ;</w:t>
      </w:r>
    </w:p>
    <w:p w:rsidR="00625044" w:rsidRDefault="001346C4">
      <w:pPr>
        <w:pStyle w:val="Standard"/>
        <w:tabs>
          <w:tab w:val="left" w:pos="3686"/>
        </w:tabs>
        <w:spacing w:before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 xml:space="preserve">ARTICLE 6 </w:t>
      </w:r>
      <w:r>
        <w:rPr>
          <w:rFonts w:ascii="Arial" w:hAnsi="Arial" w:cs="Arial"/>
          <w:sz w:val="16"/>
        </w:rPr>
        <w:t>(12)</w:t>
      </w:r>
      <w:r>
        <w:rPr>
          <w:rFonts w:ascii="Arial" w:hAnsi="Arial" w:cs="Arial"/>
        </w:rPr>
        <w:t xml:space="preserve"> - Un compte de dépôt de fonds </w:t>
      </w:r>
      <w:r>
        <w:rPr>
          <w:rFonts w:ascii="Arial" w:hAnsi="Arial" w:cs="Arial"/>
          <w:sz w:val="16"/>
        </w:rPr>
        <w:t>(13)</w:t>
      </w:r>
      <w:r>
        <w:rPr>
          <w:rFonts w:ascii="Arial" w:hAnsi="Arial" w:cs="Arial"/>
        </w:rPr>
        <w:t xml:space="preserve"> est ouvert au nom du régisseur ès qualité auprès de ............................................ </w:t>
      </w:r>
      <w:r>
        <w:rPr>
          <w:rFonts w:ascii="Arial" w:hAnsi="Arial" w:cs="Arial"/>
          <w:sz w:val="16"/>
        </w:rPr>
        <w:t>(14)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 xml:space="preserve">ARTICLE 7 </w:t>
      </w:r>
      <w:r>
        <w:rPr>
          <w:rFonts w:ascii="Arial" w:hAnsi="Arial" w:cs="Arial"/>
          <w:sz w:val="16"/>
        </w:rPr>
        <w:t>(12)</w:t>
      </w:r>
      <w:r>
        <w:rPr>
          <w:rFonts w:ascii="Arial" w:hAnsi="Arial" w:cs="Arial"/>
        </w:rPr>
        <w:t xml:space="preserve"> - Il est créé une sous-régie d’avances dont les modalités de fonctionnem</w:t>
      </w:r>
      <w:r>
        <w:rPr>
          <w:rFonts w:ascii="Arial" w:hAnsi="Arial" w:cs="Arial"/>
        </w:rPr>
        <w:t>ent sont précisées dans l’acte constitutif de la sous-régie.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Article 8 </w:t>
      </w:r>
      <w:r>
        <w:rPr>
          <w:rFonts w:ascii="Arial" w:hAnsi="Arial" w:cs="Arial"/>
          <w:sz w:val="16"/>
          <w:szCs w:val="16"/>
        </w:rPr>
        <w:t>(12)</w:t>
      </w:r>
      <w:r>
        <w:rPr>
          <w:rFonts w:ascii="Arial" w:hAnsi="Arial" w:cs="Arial"/>
        </w:rPr>
        <w:t xml:space="preserve"> - L’intervention d’un (de) mandataire(s) a lieu dans les conditions fixées par son (leur) acte de nomination.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>ARTICLE 9 - Le montant maximum de l’avance à consentir au régisseur es</w:t>
      </w:r>
      <w:r>
        <w:rPr>
          <w:rFonts w:ascii="Arial" w:hAnsi="Arial" w:cs="Arial"/>
        </w:rPr>
        <w:t xml:space="preserve">t fixé à ......................................€ </w:t>
      </w:r>
      <w:r>
        <w:rPr>
          <w:rFonts w:ascii="Arial" w:hAnsi="Arial" w:cs="Arial"/>
          <w:sz w:val="16"/>
        </w:rPr>
        <w:t>(15).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 xml:space="preserve">ARTICLE 10 - Le régisseur verse auprès du ...................................... </w:t>
      </w:r>
      <w:r>
        <w:rPr>
          <w:rFonts w:ascii="Arial" w:hAnsi="Arial" w:cs="Arial"/>
          <w:sz w:val="16"/>
        </w:rPr>
        <w:t>(16)</w:t>
      </w:r>
      <w:r>
        <w:rPr>
          <w:rFonts w:ascii="Arial" w:hAnsi="Arial" w:cs="Arial"/>
        </w:rPr>
        <w:t xml:space="preserve"> la totalité des pièces justificatives de dépenses tous les ..................................</w:t>
      </w:r>
      <w:r>
        <w:rPr>
          <w:rFonts w:ascii="Arial" w:hAnsi="Arial" w:cs="Arial"/>
          <w:sz w:val="16"/>
        </w:rPr>
        <w:t xml:space="preserve"> (17)</w:t>
      </w:r>
      <w:r>
        <w:rPr>
          <w:rFonts w:ascii="Arial" w:hAnsi="Arial" w:cs="Arial"/>
        </w:rPr>
        <w:t xml:space="preserve"> et au minimum un</w:t>
      </w:r>
      <w:r>
        <w:rPr>
          <w:rFonts w:ascii="Arial" w:hAnsi="Arial" w:cs="Arial"/>
        </w:rPr>
        <w:t xml:space="preserve">e fois par mois </w:t>
      </w:r>
      <w:r>
        <w:rPr>
          <w:rFonts w:ascii="Arial" w:hAnsi="Arial" w:cs="Arial"/>
          <w:sz w:val="16"/>
        </w:rPr>
        <w:t>(18).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>ARTICLE 11 - Le régisseur - percevra une indemnité de maniement des fonds dont le taux est précisé dans l’acte de nomination selon la réglementation en vigueur ;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  <w:u w:val="single"/>
        </w:rPr>
        <w:lastRenderedPageBreak/>
        <w:t>ou</w:t>
      </w:r>
      <w:r>
        <w:rPr>
          <w:rFonts w:ascii="Arial" w:hAnsi="Arial" w:cs="Arial"/>
        </w:rPr>
        <w:tab/>
        <w:t>- ne percevra pas d’indemnité de maniement des fonds selon la régleme</w:t>
      </w:r>
      <w:r>
        <w:rPr>
          <w:rFonts w:ascii="Arial" w:hAnsi="Arial" w:cs="Arial"/>
        </w:rPr>
        <w:t>ntation en vigueur.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ARTICLE 12 - Le mandataire suppléant - percevra une indemnité de maniement des fonds dont le taux est précisé dans l’acte de nomination selon la réglementation en vigueur ;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  <w:u w:val="single"/>
        </w:rPr>
        <w:t>ou</w:t>
      </w:r>
      <w:r>
        <w:rPr>
          <w:rFonts w:ascii="Arial" w:hAnsi="Arial" w:cs="Arial"/>
        </w:rPr>
        <w:tab/>
        <w:t>- ne percevra pas d’indemnité de maniement des fonds selon l</w:t>
      </w:r>
      <w:r>
        <w:rPr>
          <w:rFonts w:ascii="Arial" w:hAnsi="Arial" w:cs="Arial"/>
        </w:rPr>
        <w:t>a réglementation en vigueur.</w:t>
      </w:r>
    </w:p>
    <w:p w:rsidR="00625044" w:rsidRDefault="001346C4">
      <w:pPr>
        <w:pStyle w:val="Standard"/>
        <w:tabs>
          <w:tab w:val="left" w:pos="2552"/>
        </w:tabs>
        <w:spacing w:before="120"/>
        <w:jc w:val="both"/>
      </w:pPr>
      <w:r>
        <w:rPr>
          <w:rFonts w:ascii="Arial" w:hAnsi="Arial" w:cs="Arial"/>
        </w:rPr>
        <w:t xml:space="preserve">ARTICLE 13 - Le ...................... </w:t>
      </w:r>
      <w:r>
        <w:rPr>
          <w:rFonts w:ascii="Arial" w:hAnsi="Arial" w:cs="Arial"/>
          <w:sz w:val="16"/>
        </w:rPr>
        <w:t>(2)</w:t>
      </w:r>
      <w:r>
        <w:rPr>
          <w:rFonts w:ascii="Arial" w:hAnsi="Arial" w:cs="Arial"/>
        </w:rPr>
        <w:t xml:space="preserve"> et le comptable public assignataire de ........................... sont chargés, chacun en ce qui le concerne de l’exécution de la présente décision.</w:t>
      </w:r>
    </w:p>
    <w:p w:rsidR="00625044" w:rsidRDefault="001346C4">
      <w:pPr>
        <w:pStyle w:val="Standard"/>
        <w:tabs>
          <w:tab w:val="left" w:pos="396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FAIT à ..........................</w:t>
      </w:r>
      <w:r>
        <w:rPr>
          <w:rFonts w:ascii="Arial" w:hAnsi="Arial" w:cs="Arial"/>
        </w:rPr>
        <w:t>........   , le ..................  ,</w:t>
      </w:r>
    </w:p>
    <w:p w:rsidR="00625044" w:rsidRDefault="001346C4">
      <w:pPr>
        <w:pStyle w:val="Standard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25044" w:rsidRDefault="001346C4">
      <w:pPr>
        <w:pStyle w:val="Standard"/>
        <w:tabs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SIGNATURE                                                                                          </w:t>
      </w:r>
      <w:r>
        <w:rPr>
          <w:rFonts w:ascii="Arial" w:hAnsi="Arial" w:cs="Arial"/>
        </w:rPr>
        <w:tab/>
      </w:r>
    </w:p>
    <w:p w:rsidR="00625044" w:rsidRDefault="001346C4">
      <w:pPr>
        <w:pStyle w:val="Standard"/>
        <w:tabs>
          <w:tab w:val="left" w:pos="3969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DE L’AUTORITE QUALIFIEE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25044" w:rsidRDefault="001346C4">
      <w:pPr>
        <w:pStyle w:val="Standard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POUR CREER LA REGIE</w:t>
      </w:r>
    </w:p>
    <w:p w:rsidR="00625044" w:rsidRDefault="00625044">
      <w:pPr>
        <w:pStyle w:val="Standard"/>
        <w:rPr>
          <w:rFonts w:ascii="Arial" w:hAnsi="Arial" w:cs="Arial"/>
        </w:rPr>
      </w:pPr>
    </w:p>
    <w:p w:rsidR="00625044" w:rsidRDefault="00625044">
      <w:pPr>
        <w:pStyle w:val="Standard"/>
        <w:rPr>
          <w:rFonts w:ascii="Arial" w:hAnsi="Arial" w:cs="Arial"/>
        </w:rPr>
      </w:pPr>
    </w:p>
    <w:p w:rsidR="00625044" w:rsidRDefault="00625044">
      <w:pPr>
        <w:pStyle w:val="Standard"/>
        <w:rPr>
          <w:rFonts w:ascii="Arial" w:hAnsi="Arial" w:cs="Arial"/>
        </w:rPr>
      </w:pP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(1) ARRETE (si régie instituée par l’ordonnateur d’une </w:t>
      </w:r>
      <w:r>
        <w:rPr>
          <w:rFonts w:ascii="Arial" w:hAnsi="Arial" w:cs="Arial"/>
          <w:sz w:val="18"/>
        </w:rPr>
        <w:t>collectivité locale) ou DECISION (si régie créée par l’ordonnateur d’un établissement public local) ou DELIBERATION (si la régie est créée par l’assemblée délibérante)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(2) Désignation de l’autorité qualifiée pour créer la régie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(3) A viser uniquement p</w:t>
      </w:r>
      <w:r>
        <w:rPr>
          <w:rFonts w:ascii="Arial" w:hAnsi="Arial" w:cs="Arial"/>
          <w:sz w:val="18"/>
        </w:rPr>
        <w:t>our régies des établissements sociaux et médico-sociaux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(4) A viser uniquement pour les régies des établissements publics de santé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(5) Le cas échéant article L.3211-2 du CGCT par lequel le conseil général peut déléguer à la commission permanente le </w:t>
      </w:r>
      <w:r>
        <w:rPr>
          <w:rFonts w:ascii="Arial" w:hAnsi="Arial" w:cs="Arial"/>
          <w:sz w:val="18"/>
        </w:rPr>
        <w:t>soin de créer une régie ou l'article L.4221-5 du CGCT par lequel le conseil régional peut déléguer à la commission permanente le soin de créer une régie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(6) ou ARRETE dans le cadre d’un arrêté pris par l’ordonnateur d’une collectivité locale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(7) Désign</w:t>
      </w:r>
      <w:r>
        <w:rPr>
          <w:rFonts w:ascii="Arial" w:hAnsi="Arial" w:cs="Arial"/>
          <w:sz w:val="18"/>
        </w:rPr>
        <w:t>ation du service public auprès duquel est créée la régie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(8) Désignation de la collectivité ou de l’établissement public local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(9) Adresse du siège de la régie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(10) Pour les régies temporaires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(11) À préciser de manière exhaustive et limitative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12) Disposition facultative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(13) Le régisseur peut, sur autorisation du ministre chargé du budget, disposer d'un compte bancaire ou postal lorsque les nécessités de fonctionnement de la régie l'exigent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(14) Indication du comptable public assignataire, </w:t>
      </w:r>
      <w:r>
        <w:rPr>
          <w:rFonts w:ascii="Arial" w:hAnsi="Arial" w:cs="Arial"/>
          <w:sz w:val="18"/>
        </w:rPr>
        <w:t>du centre de chèques postaux ou de l’établissement bancaire teneur de compte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(15) Sauf dérogation, montant maximum fixé au quart du montant prévisible des dépenses annuelles 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(16) À préciser : ordonnateur ou comptable public assignataire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(17) Versemen</w:t>
      </w:r>
      <w:r>
        <w:rPr>
          <w:rFonts w:ascii="Arial" w:hAnsi="Arial" w:cs="Arial"/>
          <w:sz w:val="18"/>
        </w:rPr>
        <w:t>t éventuellement en cours de mois ;</w:t>
      </w:r>
    </w:p>
    <w:p w:rsidR="00625044" w:rsidRDefault="001346C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(18) Dans certaines situations, le délai de versement peut être supérieur au délai mensuel. Point à modifier dans ce cas.</w:t>
      </w:r>
    </w:p>
    <w:p w:rsidR="00625044" w:rsidRDefault="00625044">
      <w:pPr>
        <w:pStyle w:val="Standard"/>
        <w:rPr>
          <w:rFonts w:ascii="Arial" w:hAnsi="Arial" w:cs="Arial"/>
          <w:sz w:val="18"/>
        </w:rPr>
      </w:pPr>
    </w:p>
    <w:p w:rsidR="00625044" w:rsidRDefault="00625044">
      <w:pPr>
        <w:pStyle w:val="Standard"/>
        <w:tabs>
          <w:tab w:val="left" w:pos="2552"/>
        </w:tabs>
        <w:rPr>
          <w:rFonts w:ascii="Arial" w:hAnsi="Arial" w:cs="Arial"/>
          <w:sz w:val="18"/>
        </w:rPr>
      </w:pPr>
    </w:p>
    <w:sectPr w:rsidR="0062504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346C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346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346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346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5044"/>
    <w:rsid w:val="001346C4"/>
    <w:rsid w:val="0062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9C992-DA90-4F32-AFF6-12E6DD1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WW-Lgende">
    <w:name w:val="WW-Légende"/>
    <w:basedOn w:val="Standard"/>
    <w:next w:val="Standard"/>
    <w:pPr>
      <w:keepLines/>
      <w:pageBreakBefore/>
      <w:spacing w:after="480"/>
      <w:ind w:left="1843" w:hanging="1843"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constitutif d’une régie d’avances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constitutif d’une régie d’avances</dc:title>
  <dc:creator>ksakhi</dc:creator>
  <cp:lastModifiedBy>Pierre MATHIEU</cp:lastModifiedBy>
  <cp:revision>2</cp:revision>
  <cp:lastPrinted>1995-11-21T17:41:00Z</cp:lastPrinted>
  <dcterms:created xsi:type="dcterms:W3CDTF">2024-08-01T09:27:00Z</dcterms:created>
  <dcterms:modified xsi:type="dcterms:W3CDTF">2024-08-01T09:27:00Z</dcterms:modified>
</cp:coreProperties>
</file>