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643412pt;margin-top:.87336pt;width:594.7pt;height:206.85pt;mso-position-horizontal-relative:page;mso-position-vertical-relative:page;z-index:-251902976" coordorigin="13,17" coordsize="11894,4137">
            <v:shape style="position:absolute;left:12;top:17;width:11894;height:4137" type="#_x0000_t75" stroked="false">
              <v:imagedata r:id="rId5" o:title=""/>
            </v:shape>
            <v:shape style="position:absolute;left:7194;top:677;width:4482;height:949" type="#_x0000_t75" stroked="false">
              <v:imagedata r:id="rId6" o:title=""/>
            </v:shape>
            <v:shape style="position:absolute;left:7980;top:1863;width:2998;height:40" type="#_x0000_t75" stroked="false">
              <v:imagedata r:id="rId7" o:title=""/>
            </v:shape>
            <v:shapetype id="_x0000_t202" o:spt="202" coordsize="21600,21600" path="m,l,21600r21600,l21600,xe">
              <v:stroke joinstyle="miter"/>
              <v:path gradientshapeok="t" o:connecttype="rect"/>
            </v:shapetype>
            <v:shape style="position:absolute;left:7940;top:2073;width:3096;height:361" type="#_x0000_t202" filled="false" stroked="false">
              <v:textbox inset="0,0,0,0">
                <w:txbxContent>
                  <w:p>
                    <w:pPr>
                      <w:spacing w:line="360" w:lineRule="exact" w:before="0"/>
                      <w:ind w:left="0" w:right="0" w:firstLine="0"/>
                      <w:jc w:val="left"/>
                      <w:rPr>
                        <w:rFonts w:ascii="Bahnschrift Light"/>
                        <w:b w:val="0"/>
                        <w:sz w:val="36"/>
                      </w:rPr>
                    </w:pPr>
                    <w:r>
                      <w:rPr>
                        <w:rFonts w:ascii="Bahnschrift Light"/>
                        <w:b w:val="0"/>
                        <w:sz w:val="36"/>
                      </w:rPr>
                      <w:t>07 septembre 2023</w:t>
                    </w:r>
                  </w:p>
                </w:txbxContent>
              </v:textbox>
              <w10:wrap type="non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rPr>
      </w:pPr>
    </w:p>
    <w:p>
      <w:pPr>
        <w:pStyle w:val="Heading1"/>
        <w:spacing w:line="670" w:lineRule="exact"/>
      </w:pPr>
      <w:r>
        <w:rPr/>
        <w:t>FRAIS TRANSPORT DOMICILE – LIEU DE TRAVAIL</w:t>
      </w:r>
    </w:p>
    <w:p>
      <w:pPr>
        <w:spacing w:before="120"/>
        <w:ind w:left="305" w:right="90" w:firstLine="0"/>
        <w:jc w:val="center"/>
        <w:rPr>
          <w:rFonts w:ascii="Calibri"/>
          <w:b/>
          <w:sz w:val="56"/>
        </w:rPr>
      </w:pPr>
      <w:r>
        <w:rPr>
          <w:rFonts w:ascii="Calibri"/>
          <w:b/>
          <w:sz w:val="56"/>
        </w:rPr>
        <w:t>FORFAIT MOBILITES DURABLES</w:t>
      </w:r>
    </w:p>
    <w:p>
      <w:pPr>
        <w:pStyle w:val="BodyText"/>
        <w:spacing w:before="8"/>
        <w:rPr>
          <w:rFonts w:ascii="Calibri"/>
          <w:b/>
          <w:sz w:val="23"/>
        </w:rPr>
      </w:pPr>
    </w:p>
    <w:p>
      <w:pPr>
        <w:spacing w:before="94"/>
        <w:ind w:left="955" w:right="0" w:firstLine="0"/>
        <w:jc w:val="left"/>
        <w:rPr>
          <w:i/>
          <w:sz w:val="22"/>
        </w:rPr>
      </w:pPr>
      <w:r>
        <w:rPr>
          <w:i/>
          <w:spacing w:val="-160"/>
          <w:sz w:val="22"/>
          <w:u w:val="single"/>
        </w:rPr>
        <w:t>R</w:t>
      </w:r>
      <w:r>
        <w:rPr>
          <w:i/>
          <w:spacing w:val="101"/>
          <w:sz w:val="22"/>
        </w:rPr>
        <w:t> </w:t>
      </w:r>
      <w:r>
        <w:rPr>
          <w:i/>
          <w:sz w:val="22"/>
          <w:u w:val="single"/>
        </w:rPr>
        <w:t>éférences </w:t>
      </w:r>
      <w:r>
        <w:rPr>
          <w:i/>
          <w:sz w:val="22"/>
        </w:rPr>
        <w:t>:</w:t>
      </w:r>
    </w:p>
    <w:p>
      <w:pPr>
        <w:pStyle w:val="ListParagraph"/>
        <w:numPr>
          <w:ilvl w:val="0"/>
          <w:numId w:val="1"/>
        </w:numPr>
        <w:tabs>
          <w:tab w:pos="1379" w:val="left" w:leader="none"/>
        </w:tabs>
        <w:spacing w:line="240" w:lineRule="auto" w:before="128" w:after="0"/>
        <w:ind w:left="1392" w:right="930" w:hanging="360"/>
        <w:jc w:val="both"/>
        <w:rPr>
          <w:sz w:val="22"/>
        </w:rPr>
      </w:pPr>
      <w:r>
        <w:rPr>
          <w:sz w:val="22"/>
        </w:rPr>
        <w:t>Décret n°2010-676 du 21 juin 2010 instituant une prise en charge partielle du prix des titres d’abonnement correspondant aux déplacements effectués par les agents publics entre leur résidence habituelle et leur lieu de</w:t>
      </w:r>
      <w:r>
        <w:rPr>
          <w:spacing w:val="2"/>
          <w:sz w:val="22"/>
        </w:rPr>
        <w:t> </w:t>
      </w:r>
      <w:r>
        <w:rPr>
          <w:sz w:val="22"/>
        </w:rPr>
        <w:t>travail.</w:t>
      </w:r>
    </w:p>
    <w:p>
      <w:pPr>
        <w:pStyle w:val="ListParagraph"/>
        <w:numPr>
          <w:ilvl w:val="0"/>
          <w:numId w:val="1"/>
        </w:numPr>
        <w:tabs>
          <w:tab w:pos="1379" w:val="left" w:leader="none"/>
        </w:tabs>
        <w:spacing w:line="240" w:lineRule="auto" w:before="5" w:after="0"/>
        <w:ind w:left="1378" w:right="0" w:hanging="348"/>
        <w:jc w:val="both"/>
        <w:rPr>
          <w:sz w:val="22"/>
        </w:rPr>
      </w:pPr>
      <w:r>
        <w:rPr>
          <w:sz w:val="22"/>
        </w:rPr>
        <w:t>Circulaire du 22 mars 2011 précisant les conditions de mise en</w:t>
      </w:r>
      <w:r>
        <w:rPr>
          <w:spacing w:val="-2"/>
          <w:sz w:val="22"/>
        </w:rPr>
        <w:t> </w:t>
      </w:r>
      <w:r>
        <w:rPr>
          <w:sz w:val="22"/>
        </w:rPr>
        <w:t>œuvre</w:t>
      </w:r>
    </w:p>
    <w:p>
      <w:pPr>
        <w:pStyle w:val="ListParagraph"/>
        <w:numPr>
          <w:ilvl w:val="0"/>
          <w:numId w:val="1"/>
        </w:numPr>
        <w:tabs>
          <w:tab w:pos="1379" w:val="left" w:leader="none"/>
        </w:tabs>
        <w:spacing w:line="240" w:lineRule="auto" w:before="1" w:after="0"/>
        <w:ind w:left="1392" w:right="930" w:hanging="360"/>
        <w:jc w:val="both"/>
        <w:rPr>
          <w:sz w:val="22"/>
        </w:rPr>
      </w:pPr>
      <w:r>
        <w:rPr>
          <w:sz w:val="22"/>
        </w:rPr>
        <w:t>Décret n° 2020-1547 du 9 décembre 2020 relatif au versement du « forfait mobilités  durables » dans la fonction publique</w:t>
      </w:r>
      <w:r>
        <w:rPr>
          <w:spacing w:val="2"/>
          <w:sz w:val="22"/>
        </w:rPr>
        <w:t> </w:t>
      </w:r>
      <w:r>
        <w:rPr>
          <w:sz w:val="22"/>
        </w:rPr>
        <w:t>territoriale</w:t>
      </w:r>
    </w:p>
    <w:p>
      <w:pPr>
        <w:pStyle w:val="ListParagraph"/>
        <w:numPr>
          <w:ilvl w:val="0"/>
          <w:numId w:val="1"/>
        </w:numPr>
        <w:tabs>
          <w:tab w:pos="1379" w:val="left" w:leader="none"/>
        </w:tabs>
        <w:spacing w:line="240" w:lineRule="auto" w:before="3" w:after="0"/>
        <w:ind w:left="1378" w:right="0" w:hanging="348"/>
        <w:jc w:val="both"/>
        <w:rPr>
          <w:sz w:val="22"/>
        </w:rPr>
      </w:pPr>
      <w:r>
        <w:rPr>
          <w:sz w:val="22"/>
        </w:rPr>
        <w:t>Décret n° 2023-812 du 21 août 2023 modifiant le taux de prise en charge par</w:t>
      </w:r>
      <w:r>
        <w:rPr>
          <w:spacing w:val="-2"/>
          <w:sz w:val="22"/>
        </w:rPr>
        <w:t> </w:t>
      </w:r>
      <w:r>
        <w:rPr>
          <w:sz w:val="22"/>
        </w:rPr>
        <w:t>l’employeur.</w:t>
      </w:r>
    </w:p>
    <w:p>
      <w:pPr>
        <w:pStyle w:val="BodyText"/>
        <w:rPr>
          <w:sz w:val="20"/>
        </w:rPr>
      </w:pPr>
    </w:p>
    <w:p>
      <w:pPr>
        <w:pStyle w:val="BodyText"/>
        <w:spacing w:before="11"/>
        <w:rPr>
          <w:sz w:val="10"/>
        </w:rPr>
      </w:pPr>
      <w:r>
        <w:rPr/>
        <w:pict>
          <v:shape style="position:absolute;margin-left:269.040009pt;margin-top:8.762681pt;width:74.4pt;height:.1pt;mso-position-horizontal-relative:page;mso-position-vertical-relative:paragraph;z-index:-251658240;mso-wrap-distance-left:0;mso-wrap-distance-right:0" coordorigin="5381,175" coordsize="1488,0" path="m5381,175l6868,175e" filled="false" stroked="true" strokeweight=".971586pt" strokecolor="#000000">
            <v:path arrowok="t"/>
            <v:stroke dashstyle="shortdash"/>
            <w10:wrap type="topAndBottom"/>
          </v:shape>
        </w:pict>
      </w:r>
    </w:p>
    <w:p>
      <w:pPr>
        <w:pStyle w:val="BodyText"/>
        <w:spacing w:before="1"/>
        <w:rPr>
          <w:sz w:val="20"/>
        </w:rPr>
      </w:pPr>
    </w:p>
    <w:p>
      <w:pPr>
        <w:pStyle w:val="Heading2"/>
        <w:tabs>
          <w:tab w:pos="847" w:val="left" w:leader="none"/>
        </w:tabs>
        <w:rPr>
          <w:i/>
          <w:u w:val="none"/>
        </w:rPr>
      </w:pPr>
      <w:r>
        <w:rPr>
          <w:i/>
          <w:spacing w:val="-231"/>
          <w:shd w:fill="FFFF00" w:color="auto" w:val="clear"/>
          <w:u w:val="thick"/>
        </w:rPr>
        <w:t>A</w:t>
      </w:r>
      <w:r>
        <w:rPr>
          <w:i/>
          <w:spacing w:val="-231"/>
          <w:u w:val="none"/>
        </w:rPr>
        <w:tab/>
      </w:r>
      <w:r>
        <w:rPr>
          <w:i/>
          <w:shd w:fill="FFFF00" w:color="auto" w:val="clear"/>
          <w:u w:val="thick"/>
        </w:rPr>
        <w:t>– TITRES D’ABONNEMENT AUX TRANSPORTS PUBLICS OU A</w:t>
      </w:r>
      <w:r>
        <w:rPr>
          <w:i/>
          <w:spacing w:val="-31"/>
          <w:shd w:fill="FFFF00" w:color="auto" w:val="clear"/>
          <w:u w:val="thick"/>
        </w:rPr>
        <w:t> </w:t>
      </w:r>
      <w:r>
        <w:rPr>
          <w:i/>
          <w:shd w:fill="FFFF00" w:color="auto" w:val="clear"/>
          <w:u w:val="thick"/>
        </w:rPr>
        <w:t>UN</w:t>
      </w:r>
    </w:p>
    <w:p>
      <w:pPr>
        <w:spacing w:before="4"/>
        <w:ind w:left="955" w:right="0" w:firstLine="0"/>
        <w:jc w:val="left"/>
        <w:rPr>
          <w:b/>
          <w:i/>
          <w:sz w:val="32"/>
        </w:rPr>
      </w:pPr>
      <w:r>
        <w:rPr>
          <w:b/>
          <w:i/>
          <w:spacing w:val="-213"/>
          <w:sz w:val="32"/>
          <w:shd w:fill="FFFF00" w:color="auto" w:val="clear"/>
          <w:u w:val="thick"/>
        </w:rPr>
        <w:t>S</w:t>
      </w:r>
      <w:r>
        <w:rPr>
          <w:b/>
          <w:i/>
          <w:spacing w:val="126"/>
          <w:sz w:val="32"/>
        </w:rPr>
        <w:t> </w:t>
      </w:r>
      <w:r>
        <w:rPr>
          <w:b/>
          <w:i/>
          <w:sz w:val="32"/>
          <w:shd w:fill="FFFF00" w:color="auto" w:val="clear"/>
          <w:u w:val="thick"/>
        </w:rPr>
        <w:t>ERVICE DE LOCATION DE VELOS</w:t>
      </w:r>
    </w:p>
    <w:p>
      <w:pPr>
        <w:pStyle w:val="BodyText"/>
        <w:spacing w:before="11"/>
        <w:rPr>
          <w:b/>
          <w:i/>
          <w:sz w:val="13"/>
        </w:rPr>
      </w:pPr>
    </w:p>
    <w:p>
      <w:pPr>
        <w:pStyle w:val="Heading3"/>
        <w:numPr>
          <w:ilvl w:val="0"/>
          <w:numId w:val="2"/>
        </w:numPr>
        <w:tabs>
          <w:tab w:pos="1379" w:val="left" w:leader="none"/>
          <w:tab w:pos="1380" w:val="left" w:leader="none"/>
        </w:tabs>
        <w:spacing w:line="240" w:lineRule="auto" w:before="84" w:after="0"/>
        <w:ind w:left="1380" w:right="0" w:hanging="497"/>
        <w:jc w:val="left"/>
        <w:rPr>
          <w:u w:val="none"/>
        </w:rPr>
      </w:pPr>
      <w:r>
        <w:rPr>
          <w:rFonts w:ascii="Times New Roman" w:hAnsi="Times New Roman"/>
          <w:b w:val="0"/>
          <w:spacing w:val="-71"/>
          <w:w w:val="100"/>
          <w:u w:val="none"/>
        </w:rPr>
        <w:t> </w:t>
      </w:r>
      <w:r>
        <w:rPr>
          <w:u w:val="single"/>
        </w:rPr>
        <w:t>Situations ouvrant droit à la prise en</w:t>
      </w:r>
      <w:r>
        <w:rPr>
          <w:spacing w:val="-4"/>
          <w:u w:val="single"/>
        </w:rPr>
        <w:t> </w:t>
      </w:r>
      <w:r>
        <w:rPr>
          <w:u w:val="single"/>
        </w:rPr>
        <w:t>charge</w:t>
      </w:r>
    </w:p>
    <w:p>
      <w:pPr>
        <w:pStyle w:val="BodyText"/>
        <w:spacing w:before="4"/>
        <w:rPr>
          <w:rFonts w:ascii="Calibri"/>
          <w:b/>
          <w:sz w:val="21"/>
        </w:rPr>
      </w:pPr>
    </w:p>
    <w:p>
      <w:pPr>
        <w:pStyle w:val="BodyText"/>
        <w:spacing w:line="244" w:lineRule="auto" w:before="94"/>
        <w:ind w:left="672" w:right="473"/>
      </w:pPr>
      <w:r>
        <w:rPr/>
        <w:t>Les collectivités territoriales et leurs établissements publics doivent assurer une prise en charge partielle du prix des titres d’abonnement souscrits par leur personnel pour les déplacements effectués, au moyen de transports publics ou de services publics de location de vélos, entre leur résidence habituelle et leur lieu de travail. </w:t>
      </w:r>
      <w:r>
        <w:rPr>
          <w:b/>
        </w:rPr>
        <w:t>Ce remboursement n’est pas subordonné à la prise d’une délibération</w:t>
      </w:r>
      <w:r>
        <w:rPr/>
        <w:t>.</w:t>
      </w:r>
    </w:p>
    <w:p>
      <w:pPr>
        <w:pStyle w:val="BodyText"/>
        <w:spacing w:before="8"/>
        <w:rPr>
          <w:sz w:val="21"/>
        </w:rPr>
      </w:pPr>
    </w:p>
    <w:p>
      <w:pPr>
        <w:pStyle w:val="BodyText"/>
        <w:ind w:left="671"/>
      </w:pPr>
      <w:r>
        <w:rPr/>
        <w:t>Sont concernés les agents fonctionnaires, stagiaires et contractuels, sauf les agents :</w:t>
      </w:r>
    </w:p>
    <w:p>
      <w:pPr>
        <w:pStyle w:val="ListParagraph"/>
        <w:numPr>
          <w:ilvl w:val="1"/>
          <w:numId w:val="2"/>
        </w:numPr>
        <w:tabs>
          <w:tab w:pos="1380" w:val="left" w:leader="none"/>
        </w:tabs>
        <w:spacing w:line="240" w:lineRule="auto" w:before="1" w:after="0"/>
        <w:ind w:left="1391" w:right="451" w:hanging="360"/>
        <w:jc w:val="left"/>
        <w:rPr>
          <w:sz w:val="22"/>
        </w:rPr>
      </w:pPr>
      <w:r>
        <w:rPr>
          <w:sz w:val="22"/>
        </w:rPr>
        <w:t>qui perçoivent des indemnités représentatives de frais pour les déplacements entre leur  résidence habituelle et leur lieu de</w:t>
      </w:r>
      <w:r>
        <w:rPr>
          <w:spacing w:val="2"/>
          <w:sz w:val="22"/>
        </w:rPr>
        <w:t> </w:t>
      </w:r>
      <w:r>
        <w:rPr>
          <w:sz w:val="22"/>
        </w:rPr>
        <w:t>travail</w:t>
      </w:r>
    </w:p>
    <w:p>
      <w:pPr>
        <w:pStyle w:val="ListParagraph"/>
        <w:numPr>
          <w:ilvl w:val="1"/>
          <w:numId w:val="2"/>
        </w:numPr>
        <w:tabs>
          <w:tab w:pos="1380" w:val="left" w:leader="none"/>
        </w:tabs>
        <w:spacing w:line="240" w:lineRule="auto" w:before="3" w:after="0"/>
        <w:ind w:left="1379" w:right="0" w:hanging="349"/>
        <w:jc w:val="left"/>
        <w:rPr>
          <w:sz w:val="22"/>
        </w:rPr>
      </w:pPr>
      <w:r>
        <w:rPr>
          <w:sz w:val="22"/>
        </w:rPr>
        <w:t>qui ont un logement de fonction et qui n’engagent aucun frais pour se rendre au</w:t>
      </w:r>
      <w:r>
        <w:rPr>
          <w:spacing w:val="11"/>
          <w:sz w:val="22"/>
        </w:rPr>
        <w:t> </w:t>
      </w:r>
      <w:r>
        <w:rPr>
          <w:sz w:val="22"/>
        </w:rPr>
        <w:t>travail</w:t>
      </w:r>
    </w:p>
    <w:p>
      <w:pPr>
        <w:pStyle w:val="ListParagraph"/>
        <w:numPr>
          <w:ilvl w:val="1"/>
          <w:numId w:val="2"/>
        </w:numPr>
        <w:tabs>
          <w:tab w:pos="1380" w:val="left" w:leader="none"/>
        </w:tabs>
        <w:spacing w:line="240" w:lineRule="auto" w:before="1" w:after="0"/>
        <w:ind w:left="1379" w:right="0" w:hanging="349"/>
        <w:jc w:val="left"/>
        <w:rPr>
          <w:sz w:val="22"/>
        </w:rPr>
      </w:pPr>
      <w:r>
        <w:rPr>
          <w:sz w:val="22"/>
        </w:rPr>
        <w:t>qui bénéficient d’un véhicule de fonction</w:t>
      </w:r>
    </w:p>
    <w:p>
      <w:pPr>
        <w:pStyle w:val="ListParagraph"/>
        <w:numPr>
          <w:ilvl w:val="1"/>
          <w:numId w:val="2"/>
        </w:numPr>
        <w:tabs>
          <w:tab w:pos="1380" w:val="left" w:leader="none"/>
        </w:tabs>
        <w:spacing w:line="240" w:lineRule="auto" w:before="2" w:after="0"/>
        <w:ind w:left="1391" w:right="452" w:hanging="360"/>
        <w:jc w:val="left"/>
        <w:rPr>
          <w:sz w:val="22"/>
        </w:rPr>
      </w:pPr>
      <w:r>
        <w:rPr>
          <w:sz w:val="22"/>
        </w:rPr>
        <w:t>qui bénéficient d’un transport collectif gratuit entre domicile et lieu de travail ou qui sont transportés gratuitement par leur</w:t>
      </w:r>
      <w:r>
        <w:rPr>
          <w:spacing w:val="4"/>
          <w:sz w:val="22"/>
        </w:rPr>
        <w:t> </w:t>
      </w:r>
      <w:r>
        <w:rPr>
          <w:sz w:val="22"/>
        </w:rPr>
        <w:t>employeur</w:t>
      </w:r>
    </w:p>
    <w:p>
      <w:pPr>
        <w:pStyle w:val="ListParagraph"/>
        <w:numPr>
          <w:ilvl w:val="1"/>
          <w:numId w:val="2"/>
        </w:numPr>
        <w:tabs>
          <w:tab w:pos="1380" w:val="left" w:leader="none"/>
        </w:tabs>
        <w:spacing w:line="240" w:lineRule="auto" w:before="3" w:after="0"/>
        <w:ind w:left="1391" w:right="452" w:hanging="360"/>
        <w:jc w:val="left"/>
        <w:rPr>
          <w:sz w:val="22"/>
        </w:rPr>
      </w:pPr>
      <w:r>
        <w:rPr>
          <w:sz w:val="22"/>
        </w:rPr>
        <w:t>qui bénéficient pour le même trajet d’une prise en charge au titre des frais de déplacement temporaire</w:t>
      </w:r>
    </w:p>
    <w:p>
      <w:pPr>
        <w:pStyle w:val="BodyText"/>
        <w:spacing w:before="4"/>
      </w:pPr>
    </w:p>
    <w:p>
      <w:pPr>
        <w:pStyle w:val="BodyText"/>
        <w:ind w:left="671"/>
      </w:pPr>
      <w:r>
        <w:rPr/>
        <w:t>La prise en charge est suspendue durant les périodes suivantes :</w:t>
      </w:r>
    </w:p>
    <w:p>
      <w:pPr>
        <w:pStyle w:val="ListParagraph"/>
        <w:numPr>
          <w:ilvl w:val="1"/>
          <w:numId w:val="2"/>
        </w:numPr>
        <w:tabs>
          <w:tab w:pos="1380" w:val="left" w:leader="none"/>
        </w:tabs>
        <w:spacing w:line="240" w:lineRule="auto" w:before="1" w:after="0"/>
        <w:ind w:left="1379" w:right="0" w:hanging="349"/>
        <w:jc w:val="left"/>
        <w:rPr>
          <w:sz w:val="22"/>
        </w:rPr>
      </w:pPr>
      <w:r>
        <w:rPr>
          <w:sz w:val="22"/>
        </w:rPr>
        <w:t>congé de maladie, de longue maladie, de grave maladie, de longue</w:t>
      </w:r>
      <w:r>
        <w:rPr>
          <w:spacing w:val="4"/>
          <w:sz w:val="22"/>
        </w:rPr>
        <w:t> </w:t>
      </w:r>
      <w:r>
        <w:rPr>
          <w:sz w:val="22"/>
        </w:rPr>
        <w:t>durée</w:t>
      </w:r>
    </w:p>
    <w:p>
      <w:pPr>
        <w:pStyle w:val="ListParagraph"/>
        <w:numPr>
          <w:ilvl w:val="1"/>
          <w:numId w:val="2"/>
        </w:numPr>
        <w:tabs>
          <w:tab w:pos="1380" w:val="left" w:leader="none"/>
        </w:tabs>
        <w:spacing w:line="240" w:lineRule="auto" w:before="2" w:after="0"/>
        <w:ind w:left="1379" w:right="0" w:hanging="349"/>
        <w:jc w:val="left"/>
        <w:rPr>
          <w:sz w:val="22"/>
        </w:rPr>
      </w:pPr>
      <w:r>
        <w:rPr>
          <w:sz w:val="22"/>
        </w:rPr>
        <w:t>congé de maternité, de paternité,</w:t>
      </w:r>
      <w:r>
        <w:rPr>
          <w:spacing w:val="5"/>
          <w:sz w:val="22"/>
        </w:rPr>
        <w:t> </w:t>
      </w:r>
      <w:r>
        <w:rPr>
          <w:sz w:val="22"/>
        </w:rPr>
        <w:t>d’adoption</w:t>
      </w:r>
    </w:p>
    <w:p>
      <w:pPr>
        <w:pStyle w:val="ListParagraph"/>
        <w:numPr>
          <w:ilvl w:val="1"/>
          <w:numId w:val="2"/>
        </w:numPr>
        <w:tabs>
          <w:tab w:pos="1380" w:val="left" w:leader="none"/>
        </w:tabs>
        <w:spacing w:line="240" w:lineRule="auto" w:before="1" w:after="0"/>
        <w:ind w:left="1379" w:right="0" w:hanging="349"/>
        <w:jc w:val="left"/>
        <w:rPr>
          <w:sz w:val="22"/>
        </w:rPr>
      </w:pPr>
      <w:r>
        <w:rPr>
          <w:sz w:val="22"/>
        </w:rPr>
        <w:t>congé de présence</w:t>
      </w:r>
      <w:r>
        <w:rPr>
          <w:spacing w:val="-2"/>
          <w:sz w:val="22"/>
        </w:rPr>
        <w:t> </w:t>
      </w:r>
      <w:r>
        <w:rPr>
          <w:sz w:val="22"/>
        </w:rPr>
        <w:t>parentale</w:t>
      </w:r>
    </w:p>
    <w:p>
      <w:pPr>
        <w:spacing w:after="0" w:line="240" w:lineRule="auto"/>
        <w:jc w:val="left"/>
        <w:rPr>
          <w:sz w:val="22"/>
        </w:rPr>
        <w:sectPr>
          <w:type w:val="continuous"/>
          <w:pgSz w:w="11910" w:h="16840"/>
          <w:pgMar w:top="0" w:bottom="280" w:left="180" w:right="340"/>
        </w:sectPr>
      </w:pPr>
    </w:p>
    <w:p>
      <w:pPr>
        <w:pStyle w:val="ListParagraph"/>
        <w:numPr>
          <w:ilvl w:val="1"/>
          <w:numId w:val="2"/>
        </w:numPr>
        <w:tabs>
          <w:tab w:pos="1380" w:val="left" w:leader="none"/>
        </w:tabs>
        <w:spacing w:line="240" w:lineRule="auto" w:before="69" w:after="0"/>
        <w:ind w:left="1379" w:right="0" w:hanging="348"/>
        <w:jc w:val="left"/>
        <w:rPr>
          <w:sz w:val="22"/>
        </w:rPr>
      </w:pPr>
      <w:r>
        <w:rPr>
          <w:sz w:val="22"/>
        </w:rPr>
        <w:t>congé de formation professionnelle, de formation</w:t>
      </w:r>
      <w:r>
        <w:rPr>
          <w:spacing w:val="2"/>
          <w:sz w:val="22"/>
        </w:rPr>
        <w:t> </w:t>
      </w:r>
      <w:r>
        <w:rPr>
          <w:sz w:val="22"/>
        </w:rPr>
        <w:t>syndicale</w:t>
      </w:r>
    </w:p>
    <w:p>
      <w:pPr>
        <w:pStyle w:val="ListParagraph"/>
        <w:numPr>
          <w:ilvl w:val="1"/>
          <w:numId w:val="2"/>
        </w:numPr>
        <w:tabs>
          <w:tab w:pos="1380" w:val="left" w:leader="none"/>
        </w:tabs>
        <w:spacing w:line="240" w:lineRule="auto" w:before="2" w:after="0"/>
        <w:ind w:left="1379" w:right="0" w:hanging="348"/>
        <w:jc w:val="left"/>
        <w:rPr>
          <w:sz w:val="22"/>
        </w:rPr>
      </w:pPr>
      <w:r>
        <w:rPr>
          <w:sz w:val="22"/>
        </w:rPr>
        <w:t>congé de solidarité familiale (accompagnement d’une personne en fin de vie)</w:t>
      </w:r>
    </w:p>
    <w:p>
      <w:pPr>
        <w:pStyle w:val="ListParagraph"/>
        <w:numPr>
          <w:ilvl w:val="1"/>
          <w:numId w:val="2"/>
        </w:numPr>
        <w:tabs>
          <w:tab w:pos="1380" w:val="left" w:leader="none"/>
        </w:tabs>
        <w:spacing w:line="240" w:lineRule="auto" w:before="1" w:after="0"/>
        <w:ind w:left="1379" w:right="0" w:hanging="348"/>
        <w:jc w:val="left"/>
        <w:rPr>
          <w:sz w:val="22"/>
        </w:rPr>
      </w:pPr>
      <w:r>
        <w:rPr>
          <w:sz w:val="22"/>
        </w:rPr>
        <w:t>congé pris au titre du compte épargne-temps</w:t>
      </w:r>
    </w:p>
    <w:p>
      <w:pPr>
        <w:pStyle w:val="ListParagraph"/>
        <w:numPr>
          <w:ilvl w:val="1"/>
          <w:numId w:val="2"/>
        </w:numPr>
        <w:tabs>
          <w:tab w:pos="1380" w:val="left" w:leader="none"/>
        </w:tabs>
        <w:spacing w:line="240" w:lineRule="auto" w:before="2" w:after="0"/>
        <w:ind w:left="1379" w:right="0" w:hanging="348"/>
        <w:jc w:val="left"/>
        <w:rPr>
          <w:sz w:val="22"/>
        </w:rPr>
      </w:pPr>
      <w:r>
        <w:rPr>
          <w:sz w:val="22"/>
        </w:rPr>
        <w:t>congés bonifiés</w:t>
      </w:r>
    </w:p>
    <w:p>
      <w:pPr>
        <w:pStyle w:val="BodyText"/>
        <w:spacing w:before="2"/>
      </w:pPr>
    </w:p>
    <w:p>
      <w:pPr>
        <w:pStyle w:val="BodyText"/>
        <w:ind w:left="671" w:right="612"/>
      </w:pPr>
      <w:r>
        <w:rPr/>
        <w:t>La prise en charge est cependant maintenue jusqu’à la fin du mois au cours duquel débute le congé. Par ailleurs, lorsque la reprise du service a lieu au cours d’un mois ultérieur, la prise en charge est effectuée pour ce mois entier.</w:t>
      </w:r>
    </w:p>
    <w:p>
      <w:pPr>
        <w:spacing w:line="249" w:lineRule="auto" w:before="12"/>
        <w:ind w:left="671" w:right="0" w:firstLine="0"/>
        <w:jc w:val="left"/>
        <w:rPr>
          <w:b/>
          <w:sz w:val="22"/>
        </w:rPr>
      </w:pPr>
      <w:r>
        <w:rPr>
          <w:b/>
          <w:sz w:val="22"/>
        </w:rPr>
        <w:t>Il y a donc suspension de la prise en charge uniquement lorsque ces périodes de congé couvrent intégralement un mois calendaire.</w:t>
      </w:r>
    </w:p>
    <w:p>
      <w:pPr>
        <w:pStyle w:val="BodyText"/>
        <w:rPr>
          <w:b/>
          <w:sz w:val="20"/>
        </w:rPr>
      </w:pPr>
    </w:p>
    <w:p>
      <w:pPr>
        <w:pStyle w:val="BodyText"/>
        <w:spacing w:before="1"/>
        <w:rPr>
          <w:b/>
          <w:sz w:val="17"/>
        </w:rPr>
      </w:pPr>
    </w:p>
    <w:p>
      <w:pPr>
        <w:pStyle w:val="Heading3"/>
        <w:numPr>
          <w:ilvl w:val="0"/>
          <w:numId w:val="2"/>
        </w:numPr>
        <w:tabs>
          <w:tab w:pos="1379" w:val="left" w:leader="none"/>
          <w:tab w:pos="1380" w:val="left" w:leader="none"/>
        </w:tabs>
        <w:spacing w:line="240" w:lineRule="auto" w:before="84" w:after="0"/>
        <w:ind w:left="1380" w:right="0" w:hanging="572"/>
        <w:jc w:val="left"/>
        <w:rPr>
          <w:u w:val="none"/>
        </w:rPr>
      </w:pPr>
      <w:r>
        <w:rPr>
          <w:spacing w:val="-246"/>
          <w:u w:val="single"/>
        </w:rPr>
        <w:t>M</w:t>
      </w:r>
      <w:r>
        <w:rPr>
          <w:spacing w:val="185"/>
          <w:u w:val="none"/>
        </w:rPr>
        <w:t> </w:t>
      </w:r>
      <w:r>
        <w:rPr>
          <w:u w:val="single"/>
        </w:rPr>
        <w:t>odalités de prise en</w:t>
      </w:r>
      <w:r>
        <w:rPr>
          <w:spacing w:val="-6"/>
          <w:u w:val="single"/>
        </w:rPr>
        <w:t> </w:t>
      </w:r>
      <w:r>
        <w:rPr>
          <w:u w:val="single"/>
        </w:rPr>
        <w:t>charge</w:t>
      </w:r>
    </w:p>
    <w:p>
      <w:pPr>
        <w:pStyle w:val="BodyText"/>
        <w:spacing w:before="11"/>
        <w:rPr>
          <w:rFonts w:ascii="Calibri"/>
          <w:b/>
        </w:rPr>
      </w:pPr>
    </w:p>
    <w:p>
      <w:pPr>
        <w:pStyle w:val="BodyText"/>
        <w:spacing w:before="94"/>
        <w:ind w:left="1380"/>
      </w:pPr>
      <w:r>
        <w:rPr/>
        <w:t>La prise en charge porte sur :</w:t>
      </w:r>
    </w:p>
    <w:p>
      <w:pPr>
        <w:pStyle w:val="BodyText"/>
        <w:spacing w:before="3"/>
      </w:pPr>
    </w:p>
    <w:p>
      <w:pPr>
        <w:pStyle w:val="ListParagraph"/>
        <w:numPr>
          <w:ilvl w:val="0"/>
          <w:numId w:val="3"/>
        </w:numPr>
        <w:tabs>
          <w:tab w:pos="1517" w:val="left" w:leader="none"/>
        </w:tabs>
        <w:spacing w:line="240" w:lineRule="auto" w:before="0" w:after="0"/>
        <w:ind w:left="1380" w:right="685" w:firstLine="0"/>
        <w:jc w:val="left"/>
        <w:rPr>
          <w:sz w:val="22"/>
        </w:rPr>
      </w:pPr>
      <w:r>
        <w:rPr>
          <w:sz w:val="22"/>
        </w:rPr>
        <w:t>les abonnements multimodaux à nombre de voyages illimités ainsi que les cartes et abonnements annuels, mensuels ou hebdomadaires ou à renouvellement tacite à nombre de voyages illimités ou limités délivrés par la RATP, la SNCF, les entreprises de l'Organisation professionnelle des transports d'Ile-de-France ainsi que par les entreprises de transport public, les régies et les autres services de transports organisés par l’Etat et les collectivités</w:t>
      </w:r>
      <w:r>
        <w:rPr>
          <w:spacing w:val="12"/>
          <w:sz w:val="22"/>
        </w:rPr>
        <w:t> </w:t>
      </w:r>
      <w:r>
        <w:rPr>
          <w:sz w:val="22"/>
        </w:rPr>
        <w:t>territoriales</w:t>
      </w:r>
    </w:p>
    <w:p>
      <w:pPr>
        <w:pStyle w:val="BodyText"/>
        <w:spacing w:before="8"/>
      </w:pPr>
    </w:p>
    <w:p>
      <w:pPr>
        <w:pStyle w:val="ListParagraph"/>
        <w:numPr>
          <w:ilvl w:val="0"/>
          <w:numId w:val="3"/>
        </w:numPr>
        <w:tabs>
          <w:tab w:pos="1517" w:val="left" w:leader="none"/>
        </w:tabs>
        <w:spacing w:line="240" w:lineRule="auto" w:before="0" w:after="0"/>
        <w:ind w:left="1516" w:right="0" w:hanging="137"/>
        <w:jc w:val="left"/>
        <w:rPr>
          <w:sz w:val="22"/>
        </w:rPr>
      </w:pPr>
      <w:r>
        <w:rPr>
          <w:sz w:val="22"/>
        </w:rPr>
        <w:t>les abonnements à un service public de location de</w:t>
      </w:r>
      <w:r>
        <w:rPr>
          <w:spacing w:val="5"/>
          <w:sz w:val="22"/>
        </w:rPr>
        <w:t> </w:t>
      </w:r>
      <w:r>
        <w:rPr>
          <w:sz w:val="22"/>
        </w:rPr>
        <w:t>vélos.</w:t>
      </w:r>
    </w:p>
    <w:p>
      <w:pPr>
        <w:pStyle w:val="BodyText"/>
        <w:spacing w:before="3"/>
      </w:pPr>
    </w:p>
    <w:p>
      <w:pPr>
        <w:pStyle w:val="BodyText"/>
        <w:ind w:left="1380"/>
      </w:pPr>
      <w:r>
        <w:rPr/>
        <w:t>Ces deux prises en charge ne sont pas cumulables lorsqu’elles portent sur le même trajet.</w:t>
      </w:r>
    </w:p>
    <w:p>
      <w:pPr>
        <w:pStyle w:val="BodyText"/>
        <w:spacing w:before="3"/>
      </w:pPr>
    </w:p>
    <w:p>
      <w:pPr>
        <w:pStyle w:val="BodyText"/>
        <w:ind w:left="1380" w:right="612"/>
      </w:pPr>
      <w:r>
        <w:rPr/>
        <w:t>La prise en charge correspond à 75% du prix de l’abonnement à compter du 01/09/2023, dans les limites et conditions suivantes :</w:t>
      </w:r>
    </w:p>
    <w:p>
      <w:pPr>
        <w:pStyle w:val="ListParagraph"/>
        <w:numPr>
          <w:ilvl w:val="0"/>
          <w:numId w:val="3"/>
        </w:numPr>
        <w:tabs>
          <w:tab w:pos="1517" w:val="left" w:leader="none"/>
        </w:tabs>
        <w:spacing w:line="242" w:lineRule="auto" w:before="0" w:after="0"/>
        <w:ind w:left="1380" w:right="601" w:firstLine="0"/>
        <w:jc w:val="left"/>
        <w:rPr>
          <w:sz w:val="22"/>
        </w:rPr>
      </w:pPr>
      <w:r>
        <w:rPr>
          <w:sz w:val="22"/>
        </w:rPr>
        <w:t>à partir du 1</w:t>
      </w:r>
      <w:r>
        <w:rPr>
          <w:position w:val="8"/>
          <w:sz w:val="14"/>
        </w:rPr>
        <w:t>er </w:t>
      </w:r>
      <w:r>
        <w:rPr>
          <w:sz w:val="22"/>
        </w:rPr>
        <w:t>août 2017, elle ne peut dépasser un plafond correspondant au tarif de l’abonnement annuel permettant d’effectuer, le trajet maximum à travers la région Ile-de-France, majoré de 25% (c’est-à-dire l’abonnement «Pass Navigo annuel» en région parisienne et province), soit un remboursement mensuel de </w:t>
      </w:r>
      <w:r>
        <w:rPr>
          <w:b/>
          <w:sz w:val="22"/>
        </w:rPr>
        <w:t>86.17 €</w:t>
      </w:r>
      <w:r>
        <w:rPr>
          <w:rFonts w:ascii="Comic Sans MS" w:hAnsi="Comic Sans MS"/>
          <w:b/>
          <w:sz w:val="28"/>
        </w:rPr>
        <w:t>*</w:t>
      </w:r>
      <w:r>
        <w:rPr>
          <w:rFonts w:ascii="Comic Sans MS" w:hAnsi="Comic Sans MS"/>
          <w:b/>
          <w:spacing w:val="-56"/>
          <w:sz w:val="28"/>
        </w:rPr>
        <w:t> </w:t>
      </w:r>
      <w:r>
        <w:rPr>
          <w:sz w:val="22"/>
        </w:rPr>
        <w:t>;</w:t>
      </w:r>
    </w:p>
    <w:p>
      <w:pPr>
        <w:pStyle w:val="ListParagraph"/>
        <w:numPr>
          <w:ilvl w:val="0"/>
          <w:numId w:val="3"/>
        </w:numPr>
        <w:tabs>
          <w:tab w:pos="1517" w:val="left" w:leader="none"/>
        </w:tabs>
        <w:spacing w:line="247" w:lineRule="exact" w:before="0" w:after="0"/>
        <w:ind w:left="1516" w:right="0" w:hanging="137"/>
        <w:jc w:val="left"/>
        <w:rPr>
          <w:sz w:val="22"/>
        </w:rPr>
      </w:pPr>
      <w:r>
        <w:rPr>
          <w:sz w:val="22"/>
        </w:rPr>
        <w:t>elle se fait sur la base du tarif le plus économique</w:t>
      </w:r>
      <w:r>
        <w:rPr>
          <w:spacing w:val="8"/>
          <w:sz w:val="22"/>
        </w:rPr>
        <w:t> </w:t>
      </w:r>
      <w:r>
        <w:rPr>
          <w:sz w:val="22"/>
        </w:rPr>
        <w:t>;</w:t>
      </w:r>
    </w:p>
    <w:p>
      <w:pPr>
        <w:pStyle w:val="ListParagraph"/>
        <w:numPr>
          <w:ilvl w:val="0"/>
          <w:numId w:val="3"/>
        </w:numPr>
        <w:tabs>
          <w:tab w:pos="1517" w:val="left" w:leader="none"/>
        </w:tabs>
        <w:spacing w:line="240" w:lineRule="auto" w:before="0" w:after="0"/>
        <w:ind w:left="1380" w:right="886" w:firstLine="0"/>
        <w:jc w:val="left"/>
        <w:rPr>
          <w:sz w:val="22"/>
        </w:rPr>
      </w:pPr>
      <w:r>
        <w:rPr>
          <w:sz w:val="22"/>
        </w:rPr>
        <w:t>le trajet couvert est celui effectué dans le temps le plus court entre la résidence habituelle la plus proche du lieu de travail et le lieu de</w:t>
      </w:r>
      <w:r>
        <w:rPr>
          <w:spacing w:val="3"/>
          <w:sz w:val="22"/>
        </w:rPr>
        <w:t> </w:t>
      </w:r>
      <w:r>
        <w:rPr>
          <w:sz w:val="22"/>
        </w:rPr>
        <w:t>travail.</w:t>
      </w:r>
    </w:p>
    <w:p>
      <w:pPr>
        <w:pStyle w:val="BodyText"/>
        <w:spacing w:before="7"/>
      </w:pPr>
    </w:p>
    <w:p>
      <w:pPr>
        <w:spacing w:line="247" w:lineRule="auto" w:before="0"/>
        <w:ind w:left="1380" w:right="473" w:firstLine="0"/>
        <w:jc w:val="left"/>
        <w:rPr>
          <w:b/>
          <w:sz w:val="18"/>
        </w:rPr>
      </w:pPr>
      <w:r>
        <w:rPr>
          <w:b/>
          <w:sz w:val="18"/>
        </w:rPr>
        <w:t>Les collectivités et établissements peuvent maintenir au profit de l’ensemble de leurs agents, sous réserve qu’ils aient mis en place avant le 1</w:t>
      </w:r>
      <w:r>
        <w:rPr>
          <w:b/>
          <w:position w:val="6"/>
          <w:sz w:val="12"/>
        </w:rPr>
        <w:t>er </w:t>
      </w:r>
      <w:r>
        <w:rPr>
          <w:b/>
          <w:sz w:val="18"/>
        </w:rPr>
        <w:t>juillet 2010, les anciens dispositifs permettant des prises en charge supérieures au plafond actuel (art. 3 du décret n° 2010-676 du 21/06/2010).</w:t>
      </w:r>
    </w:p>
    <w:p>
      <w:pPr>
        <w:pStyle w:val="BodyText"/>
        <w:spacing w:before="2"/>
        <w:rPr>
          <w:b/>
        </w:rPr>
      </w:pPr>
    </w:p>
    <w:p>
      <w:pPr>
        <w:pStyle w:val="BodyText"/>
        <w:spacing w:before="1"/>
        <w:ind w:left="1380" w:right="473"/>
      </w:pPr>
      <w:r>
        <w:rPr/>
        <w:t>La prise en charge correspondant à la participation obligatoire de l'employeur n'est pas assujettie à l'impôt sur le revenu. En revanche, si un dispositif antérieur plus favorable a été maintenu, la part dépassant le plafond est imposée.</w:t>
      </w:r>
    </w:p>
    <w:p>
      <w:pPr>
        <w:pStyle w:val="BodyText"/>
        <w:spacing w:before="5"/>
      </w:pPr>
    </w:p>
    <w:p>
      <w:pPr>
        <w:pStyle w:val="BodyText"/>
        <w:ind w:left="1380" w:right="612"/>
      </w:pPr>
      <w:r>
        <w:rPr/>
        <w:t>En matière de cotisations sociales, il y a exonération sur la prise en charge partielle obligatoire ; si la participation de l'employeur dépasse le taux obligatoire (maintien d'un dispositif antérieur plus favorable), il peut y avoir exonération sous certaines conditions.</w:t>
      </w:r>
    </w:p>
    <w:p>
      <w:pPr>
        <w:pStyle w:val="BodyText"/>
        <w:spacing w:before="4"/>
        <w:rPr>
          <w:sz w:val="14"/>
        </w:rPr>
      </w:pPr>
    </w:p>
    <w:p>
      <w:pPr>
        <w:pStyle w:val="BodyText"/>
        <w:spacing w:before="94"/>
        <w:ind w:left="1380" w:right="557"/>
      </w:pPr>
      <w:r>
        <w:rPr>
          <w:spacing w:val="-148"/>
          <w:u w:val="single"/>
        </w:rPr>
        <w:t>P</w:t>
      </w:r>
      <w:r>
        <w:rPr>
          <w:spacing w:val="89"/>
        </w:rPr>
        <w:t> </w:t>
      </w:r>
      <w:r>
        <w:rPr>
          <w:u w:val="single"/>
        </w:rPr>
        <w:t>our les agents qui occupent un ou plusieurs emplois à temps non complet ou qui effectuent leur</w:t>
      </w:r>
      <w:r>
        <w:rPr/>
        <w:t> </w:t>
      </w:r>
      <w:r>
        <w:rPr>
          <w:spacing w:val="-29"/>
        </w:rPr>
        <w:t> </w:t>
      </w:r>
      <w:r>
        <w:rPr>
          <w:spacing w:val="-111"/>
          <w:u w:val="single"/>
        </w:rPr>
        <w:t>s</w:t>
      </w:r>
      <w:r>
        <w:rPr>
          <w:spacing w:val="52"/>
        </w:rPr>
        <w:t> </w:t>
      </w:r>
      <w:r>
        <w:rPr>
          <w:u w:val="single"/>
        </w:rPr>
        <w:t>ervice à temps partiel</w:t>
      </w:r>
      <w:r>
        <w:rPr/>
        <w:t> :</w:t>
      </w:r>
    </w:p>
    <w:p>
      <w:pPr>
        <w:pStyle w:val="BodyText"/>
        <w:spacing w:before="3"/>
        <w:rPr>
          <w:sz w:val="14"/>
        </w:rPr>
      </w:pPr>
    </w:p>
    <w:p>
      <w:pPr>
        <w:pStyle w:val="ListParagraph"/>
        <w:numPr>
          <w:ilvl w:val="0"/>
          <w:numId w:val="3"/>
        </w:numPr>
        <w:tabs>
          <w:tab w:pos="1517" w:val="left" w:leader="none"/>
        </w:tabs>
        <w:spacing w:line="240" w:lineRule="auto" w:before="93" w:after="0"/>
        <w:ind w:left="1380" w:right="657" w:firstLine="0"/>
        <w:jc w:val="left"/>
        <w:rPr>
          <w:sz w:val="22"/>
        </w:rPr>
      </w:pPr>
      <w:r>
        <w:rPr>
          <w:sz w:val="22"/>
        </w:rPr>
        <w:t>si leur durée de travail est au moins égale à la moitié de la durée légale, le montant de la prise en charge n’est pas</w:t>
      </w:r>
      <w:r>
        <w:rPr>
          <w:spacing w:val="3"/>
          <w:sz w:val="22"/>
        </w:rPr>
        <w:t> </w:t>
      </w:r>
      <w:r>
        <w:rPr>
          <w:sz w:val="22"/>
        </w:rPr>
        <w:t>diminué.</w:t>
      </w:r>
    </w:p>
    <w:p>
      <w:pPr>
        <w:pStyle w:val="ListParagraph"/>
        <w:numPr>
          <w:ilvl w:val="0"/>
          <w:numId w:val="3"/>
        </w:numPr>
        <w:tabs>
          <w:tab w:pos="1517" w:val="left" w:leader="none"/>
        </w:tabs>
        <w:spacing w:line="240" w:lineRule="auto" w:before="3" w:after="0"/>
        <w:ind w:left="1380" w:right="928" w:firstLine="0"/>
        <w:jc w:val="left"/>
        <w:rPr>
          <w:sz w:val="22"/>
        </w:rPr>
      </w:pPr>
      <w:r>
        <w:rPr>
          <w:sz w:val="22"/>
        </w:rPr>
        <w:t>si leur durée de travail est inférieure à la moitié de la durée légale, le montant de la prise en charge est divisé par</w:t>
      </w:r>
      <w:r>
        <w:rPr>
          <w:spacing w:val="5"/>
          <w:sz w:val="22"/>
        </w:rPr>
        <w:t> </w:t>
      </w:r>
      <w:r>
        <w:rPr>
          <w:sz w:val="22"/>
        </w:rPr>
        <w:t>deux.</w:t>
      </w:r>
    </w:p>
    <w:p>
      <w:pPr>
        <w:pStyle w:val="BodyText"/>
        <w:spacing w:before="3"/>
        <w:rPr>
          <w:sz w:val="14"/>
        </w:rPr>
      </w:pPr>
    </w:p>
    <w:p>
      <w:pPr>
        <w:pStyle w:val="BodyText"/>
        <w:spacing w:before="93"/>
        <w:ind w:left="1380" w:right="269"/>
      </w:pPr>
      <w:r>
        <w:rPr>
          <w:spacing w:val="-148"/>
          <w:u w:val="single"/>
        </w:rPr>
        <w:t>P</w:t>
      </w:r>
      <w:r>
        <w:rPr>
          <w:spacing w:val="87"/>
        </w:rPr>
        <w:t> </w:t>
      </w:r>
      <w:r>
        <w:rPr>
          <w:u w:val="single"/>
        </w:rPr>
        <w:t>our les agents ayant un seul employeur mais plusieurs lieux de travail</w:t>
      </w:r>
      <w:r>
        <w:rPr/>
        <w:t> : ils bénéficient de la prise en charge du ou des titres de transport pour l’ensemble des déplacements entre leur résidence habituelle et leurs différents lieux de travail.</w:t>
      </w:r>
    </w:p>
    <w:p>
      <w:pPr>
        <w:spacing w:after="0"/>
        <w:sectPr>
          <w:pgSz w:w="11910" w:h="16840"/>
          <w:pgMar w:top="620" w:bottom="280" w:left="180" w:right="340"/>
        </w:sectPr>
      </w:pPr>
    </w:p>
    <w:p>
      <w:pPr>
        <w:pStyle w:val="BodyText"/>
        <w:spacing w:before="69"/>
        <w:ind w:left="1380"/>
      </w:pPr>
      <w:r>
        <w:rPr>
          <w:spacing w:val="-148"/>
          <w:u w:val="single"/>
        </w:rPr>
        <w:t>P</w:t>
      </w:r>
      <w:r>
        <w:rPr>
          <w:spacing w:val="87"/>
        </w:rPr>
        <w:t> </w:t>
      </w:r>
      <w:r>
        <w:rPr>
          <w:u w:val="single"/>
        </w:rPr>
        <w:t>our les agents ayant plusieurs employeurs publics</w:t>
      </w:r>
      <w:r>
        <w:rPr/>
        <w:t> :</w:t>
      </w:r>
    </w:p>
    <w:p>
      <w:pPr>
        <w:pStyle w:val="BodyText"/>
        <w:spacing w:before="1"/>
        <w:rPr>
          <w:sz w:val="14"/>
        </w:rPr>
      </w:pPr>
    </w:p>
    <w:p>
      <w:pPr>
        <w:pStyle w:val="ListParagraph"/>
        <w:numPr>
          <w:ilvl w:val="0"/>
          <w:numId w:val="3"/>
        </w:numPr>
        <w:tabs>
          <w:tab w:pos="1517" w:val="left" w:leader="none"/>
        </w:tabs>
        <w:spacing w:line="240" w:lineRule="auto" w:before="94" w:after="0"/>
        <w:ind w:left="1380" w:right="502" w:firstLine="0"/>
        <w:jc w:val="left"/>
        <w:rPr>
          <w:sz w:val="22"/>
        </w:rPr>
      </w:pPr>
      <w:r>
        <w:rPr>
          <w:sz w:val="22"/>
        </w:rPr>
        <w:t>si l’agent a besoin de titres d’abonnement différents, chaque employeur assure la prise en charge du ou des titres nécessaires pour le déplacement entre la résidence habituelle et le ou les lieux de travail qui le</w:t>
      </w:r>
      <w:r>
        <w:rPr>
          <w:spacing w:val="-2"/>
          <w:sz w:val="22"/>
        </w:rPr>
        <w:t> </w:t>
      </w:r>
      <w:r>
        <w:rPr>
          <w:sz w:val="22"/>
        </w:rPr>
        <w:t>concernent</w:t>
      </w:r>
    </w:p>
    <w:p>
      <w:pPr>
        <w:pStyle w:val="ListParagraph"/>
        <w:numPr>
          <w:ilvl w:val="0"/>
          <w:numId w:val="3"/>
        </w:numPr>
        <w:tabs>
          <w:tab w:pos="1517" w:val="left" w:leader="none"/>
        </w:tabs>
        <w:spacing w:line="240" w:lineRule="auto" w:before="4" w:after="0"/>
        <w:ind w:left="1380" w:right="579" w:firstLine="0"/>
        <w:jc w:val="left"/>
        <w:rPr>
          <w:sz w:val="22"/>
        </w:rPr>
      </w:pPr>
      <w:r>
        <w:rPr>
          <w:sz w:val="22"/>
        </w:rPr>
        <w:t>si l’agent utilise le même titre d’abonnement, le montant de la prise en charge est déterminé en fonction du total cumulé des heures travaillées, puis réparti entre employeurs au prorata du temps travaillé pour chacun</w:t>
      </w:r>
    </w:p>
    <w:p>
      <w:pPr>
        <w:pStyle w:val="BodyText"/>
        <w:spacing w:before="6"/>
      </w:pPr>
    </w:p>
    <w:p>
      <w:pPr>
        <w:pStyle w:val="BodyText"/>
        <w:ind w:left="1380" w:right="473"/>
      </w:pPr>
      <w:r>
        <w:rPr/>
        <w:t>Le montant correspondant à la prise en charge est versé mensuellement, même si le titre est annuel.</w:t>
      </w:r>
    </w:p>
    <w:p>
      <w:pPr>
        <w:pStyle w:val="BodyText"/>
        <w:spacing w:before="3"/>
        <w:ind w:left="1380"/>
      </w:pPr>
      <w:r>
        <w:rPr/>
        <w:t>L’agent doit présenter les justificatifs de transport, qui doivent être conformes et valides ; tout changement de situation doit être signalé.</w:t>
      </w:r>
    </w:p>
    <w:p>
      <w:pPr>
        <w:pStyle w:val="BodyText"/>
        <w:spacing w:before="11"/>
        <w:rPr>
          <w:sz w:val="18"/>
        </w:rPr>
      </w:pPr>
      <w:r>
        <w:rPr/>
        <w:pict>
          <v:shape style="position:absolute;margin-left:65.280006pt;margin-top:13.113542pt;width:496.1pt;height:22pt;mso-position-horizontal-relative:page;mso-position-vertical-relative:paragraph;z-index:-251655168;mso-wrap-distance-left:0;mso-wrap-distance-right:0" type="#_x0000_t202" filled="false" stroked="true" strokeweight=".480011pt" strokecolor="#000000">
            <v:textbox inset="0,0,0,0">
              <w:txbxContent>
                <w:p>
                  <w:pPr>
                    <w:spacing w:before="20"/>
                    <w:ind w:left="107" w:right="0" w:firstLine="0"/>
                    <w:jc w:val="left"/>
                    <w:rPr>
                      <w:rFonts w:ascii="Comic Sans MS" w:hAnsi="Comic Sans MS"/>
                      <w:sz w:val="20"/>
                    </w:rPr>
                  </w:pPr>
                  <w:r>
                    <w:rPr>
                      <w:rFonts w:ascii="Comic Sans MS" w:hAnsi="Comic Sans MS"/>
                      <w:sz w:val="28"/>
                    </w:rPr>
                    <w:t>*</w:t>
                  </w:r>
                  <w:r>
                    <w:rPr>
                      <w:rFonts w:ascii="Comic Sans MS" w:hAnsi="Comic Sans MS"/>
                      <w:sz w:val="20"/>
                    </w:rPr>
                    <w:t>Délibération n° 2017/415 du 28 juin 2017du Syndicat des Transports d’Ile-de-France)</w:t>
                  </w:r>
                </w:p>
              </w:txbxContent>
            </v:textbox>
            <v:stroke dashstyle="solid"/>
            <w10:wrap type="topAndBottom"/>
          </v:shape>
        </w:pict>
      </w:r>
    </w:p>
    <w:p>
      <w:pPr>
        <w:pStyle w:val="BodyText"/>
        <w:rPr>
          <w:sz w:val="20"/>
        </w:rPr>
      </w:pPr>
    </w:p>
    <w:p>
      <w:pPr>
        <w:pStyle w:val="BodyText"/>
        <w:spacing w:before="1"/>
        <w:rPr>
          <w:sz w:val="18"/>
        </w:rPr>
      </w:pPr>
    </w:p>
    <w:p>
      <w:pPr>
        <w:pStyle w:val="Heading2"/>
        <w:tabs>
          <w:tab w:pos="847" w:val="left" w:leader="none"/>
        </w:tabs>
        <w:rPr>
          <w:i/>
          <w:u w:val="none"/>
        </w:rPr>
      </w:pPr>
      <w:r>
        <w:rPr>
          <w:i/>
          <w:spacing w:val="-231"/>
          <w:shd w:fill="FFFF00" w:color="auto" w:val="clear"/>
          <w:u w:val="thick"/>
        </w:rPr>
        <w:t>B</w:t>
      </w:r>
      <w:r>
        <w:rPr>
          <w:i/>
          <w:spacing w:val="-231"/>
          <w:u w:val="none"/>
        </w:rPr>
        <w:tab/>
      </w:r>
      <w:r>
        <w:rPr>
          <w:i/>
          <w:shd w:fill="FFFF00" w:color="auto" w:val="clear"/>
          <w:u w:val="thick"/>
        </w:rPr>
        <w:t>– LE FORFAIT MOBILITES</w:t>
      </w:r>
      <w:r>
        <w:rPr>
          <w:i/>
          <w:spacing w:val="-6"/>
          <w:shd w:fill="FFFF00" w:color="auto" w:val="clear"/>
          <w:u w:val="thick"/>
        </w:rPr>
        <w:t> </w:t>
      </w:r>
      <w:r>
        <w:rPr>
          <w:i/>
          <w:shd w:fill="FFFF00" w:color="auto" w:val="clear"/>
          <w:u w:val="thick"/>
        </w:rPr>
        <w:t>DURABLES</w:t>
      </w:r>
    </w:p>
    <w:p>
      <w:pPr>
        <w:pStyle w:val="BodyText"/>
        <w:spacing w:before="9"/>
        <w:rPr>
          <w:b/>
          <w:i/>
          <w:sz w:val="24"/>
        </w:rPr>
      </w:pPr>
    </w:p>
    <w:p>
      <w:pPr>
        <w:spacing w:line="244" w:lineRule="auto" w:before="108"/>
        <w:ind w:left="671" w:right="449" w:firstLine="0"/>
        <w:jc w:val="both"/>
        <w:rPr>
          <w:rFonts w:ascii="Calibri" w:hAnsi="Calibri"/>
          <w:sz w:val="24"/>
        </w:rPr>
      </w:pPr>
      <w:r>
        <w:rPr>
          <w:rFonts w:ascii="Calibri" w:hAnsi="Calibri"/>
          <w:color w:val="181A1F"/>
          <w:w w:val="105"/>
          <w:sz w:val="24"/>
        </w:rPr>
        <w:t>L’article L.</w:t>
      </w:r>
      <w:r>
        <w:rPr>
          <w:rFonts w:ascii="Calibri" w:hAnsi="Calibri"/>
          <w:color w:val="181A1F"/>
          <w:spacing w:val="2"/>
          <w:w w:val="105"/>
          <w:sz w:val="24"/>
        </w:rPr>
        <w:t> </w:t>
      </w:r>
      <w:r>
        <w:rPr>
          <w:rFonts w:ascii="Calibri" w:hAnsi="Calibri"/>
          <w:color w:val="181A1F"/>
          <w:w w:val="105"/>
          <w:sz w:val="24"/>
        </w:rPr>
        <w:t>3261-1 du</w:t>
      </w:r>
      <w:r>
        <w:rPr>
          <w:rFonts w:ascii="Calibri" w:hAnsi="Calibri"/>
          <w:color w:val="181A1F"/>
          <w:spacing w:val="-2"/>
          <w:w w:val="105"/>
          <w:sz w:val="24"/>
        </w:rPr>
        <w:t> </w:t>
      </w:r>
      <w:r>
        <w:rPr>
          <w:rFonts w:ascii="Calibri" w:hAnsi="Calibri"/>
          <w:color w:val="181A1F"/>
          <w:w w:val="105"/>
          <w:sz w:val="24"/>
        </w:rPr>
        <w:t>code</w:t>
      </w:r>
      <w:r>
        <w:rPr>
          <w:rFonts w:ascii="Calibri" w:hAnsi="Calibri"/>
          <w:color w:val="181A1F"/>
          <w:spacing w:val="1"/>
          <w:w w:val="105"/>
          <w:sz w:val="24"/>
        </w:rPr>
        <w:t> </w:t>
      </w:r>
      <w:r>
        <w:rPr>
          <w:rFonts w:ascii="Calibri" w:hAnsi="Calibri"/>
          <w:color w:val="181A1F"/>
          <w:w w:val="105"/>
          <w:sz w:val="24"/>
        </w:rPr>
        <w:t>du travail</w:t>
      </w:r>
      <w:r>
        <w:rPr>
          <w:rFonts w:ascii="Calibri" w:hAnsi="Calibri"/>
          <w:color w:val="181A1F"/>
          <w:spacing w:val="1"/>
          <w:w w:val="105"/>
          <w:sz w:val="24"/>
        </w:rPr>
        <w:t> </w:t>
      </w:r>
      <w:r>
        <w:rPr>
          <w:rFonts w:ascii="Calibri" w:hAnsi="Calibri"/>
          <w:color w:val="181A1F"/>
          <w:w w:val="105"/>
          <w:sz w:val="24"/>
        </w:rPr>
        <w:t>ouvre</w:t>
      </w:r>
      <w:r>
        <w:rPr>
          <w:rFonts w:ascii="Calibri" w:hAnsi="Calibri"/>
          <w:color w:val="181A1F"/>
          <w:spacing w:val="1"/>
          <w:w w:val="105"/>
          <w:sz w:val="24"/>
        </w:rPr>
        <w:t> </w:t>
      </w:r>
      <w:r>
        <w:rPr>
          <w:rFonts w:ascii="Calibri" w:hAnsi="Calibri"/>
          <w:color w:val="181A1F"/>
          <w:w w:val="105"/>
          <w:sz w:val="24"/>
        </w:rPr>
        <w:t>droit</w:t>
      </w:r>
      <w:r>
        <w:rPr>
          <w:rFonts w:ascii="Calibri" w:hAnsi="Calibri"/>
          <w:color w:val="181A1F"/>
          <w:spacing w:val="-2"/>
          <w:w w:val="105"/>
          <w:sz w:val="24"/>
        </w:rPr>
        <w:t> </w:t>
      </w:r>
      <w:r>
        <w:rPr>
          <w:rFonts w:ascii="Calibri" w:hAnsi="Calibri"/>
          <w:color w:val="181A1F"/>
          <w:w w:val="105"/>
          <w:sz w:val="24"/>
        </w:rPr>
        <w:t>au</w:t>
      </w:r>
      <w:r>
        <w:rPr>
          <w:rFonts w:ascii="Calibri" w:hAnsi="Calibri"/>
          <w:color w:val="181A1F"/>
          <w:spacing w:val="-2"/>
          <w:w w:val="105"/>
          <w:sz w:val="24"/>
        </w:rPr>
        <w:t> </w:t>
      </w:r>
      <w:r>
        <w:rPr>
          <w:rFonts w:ascii="Calibri" w:hAnsi="Calibri"/>
          <w:color w:val="181A1F"/>
          <w:w w:val="105"/>
          <w:sz w:val="24"/>
        </w:rPr>
        <w:t>versement d’un</w:t>
      </w:r>
      <w:r>
        <w:rPr>
          <w:rFonts w:ascii="Calibri" w:hAnsi="Calibri"/>
          <w:color w:val="181A1F"/>
          <w:spacing w:val="-3"/>
          <w:w w:val="105"/>
          <w:sz w:val="24"/>
        </w:rPr>
        <w:t> </w:t>
      </w:r>
      <w:r>
        <w:rPr>
          <w:rFonts w:ascii="Calibri" w:hAnsi="Calibri"/>
          <w:color w:val="181A1F"/>
          <w:w w:val="105"/>
          <w:sz w:val="24"/>
        </w:rPr>
        <w:t>«</w:t>
      </w:r>
      <w:r>
        <w:rPr>
          <w:rFonts w:ascii="Calibri" w:hAnsi="Calibri"/>
          <w:color w:val="181A1F"/>
          <w:spacing w:val="-15"/>
          <w:w w:val="105"/>
          <w:sz w:val="24"/>
        </w:rPr>
        <w:t> </w:t>
      </w:r>
      <w:r>
        <w:rPr>
          <w:rFonts w:ascii="Calibri" w:hAnsi="Calibri"/>
          <w:color w:val="181A1F"/>
          <w:w w:val="105"/>
          <w:sz w:val="24"/>
        </w:rPr>
        <w:t>forfait</w:t>
      </w:r>
      <w:r>
        <w:rPr>
          <w:rFonts w:ascii="Calibri" w:hAnsi="Calibri"/>
          <w:color w:val="181A1F"/>
          <w:spacing w:val="-18"/>
          <w:w w:val="105"/>
          <w:sz w:val="24"/>
        </w:rPr>
        <w:t> </w:t>
      </w:r>
      <w:r>
        <w:rPr>
          <w:rFonts w:ascii="Calibri" w:hAnsi="Calibri"/>
          <w:color w:val="181A1F"/>
          <w:w w:val="105"/>
          <w:sz w:val="24"/>
        </w:rPr>
        <w:t>mobilités</w:t>
      </w:r>
      <w:r>
        <w:rPr>
          <w:rFonts w:ascii="Calibri" w:hAnsi="Calibri"/>
          <w:color w:val="181A1F"/>
          <w:spacing w:val="-18"/>
          <w:w w:val="105"/>
          <w:sz w:val="24"/>
        </w:rPr>
        <w:t> </w:t>
      </w:r>
      <w:r>
        <w:rPr>
          <w:rFonts w:ascii="Calibri" w:hAnsi="Calibri"/>
          <w:color w:val="181A1F"/>
          <w:w w:val="105"/>
          <w:sz w:val="24"/>
        </w:rPr>
        <w:t>durables</w:t>
      </w:r>
      <w:r>
        <w:rPr>
          <w:rFonts w:ascii="Calibri" w:hAnsi="Calibri"/>
          <w:color w:val="181A1F"/>
          <w:spacing w:val="-17"/>
          <w:w w:val="105"/>
          <w:sz w:val="24"/>
        </w:rPr>
        <w:t> </w:t>
      </w:r>
      <w:r>
        <w:rPr>
          <w:rFonts w:ascii="Calibri" w:hAnsi="Calibri"/>
          <w:color w:val="181A1F"/>
          <w:w w:val="105"/>
          <w:sz w:val="24"/>
        </w:rPr>
        <w:t>»</w:t>
      </w:r>
      <w:r>
        <w:rPr>
          <w:rFonts w:ascii="Calibri" w:hAnsi="Calibri"/>
          <w:color w:val="181A1F"/>
          <w:spacing w:val="-2"/>
          <w:w w:val="105"/>
          <w:sz w:val="24"/>
        </w:rPr>
        <w:t> </w:t>
      </w:r>
      <w:r>
        <w:rPr>
          <w:rFonts w:ascii="Calibri" w:hAnsi="Calibri"/>
          <w:color w:val="181A1F"/>
          <w:w w:val="105"/>
          <w:sz w:val="24"/>
        </w:rPr>
        <w:t>aux personnels</w:t>
      </w:r>
      <w:r>
        <w:rPr>
          <w:rFonts w:ascii="Calibri" w:hAnsi="Calibri"/>
          <w:color w:val="181A1F"/>
          <w:spacing w:val="-12"/>
          <w:w w:val="105"/>
          <w:sz w:val="24"/>
        </w:rPr>
        <w:t> </w:t>
      </w:r>
      <w:r>
        <w:rPr>
          <w:rFonts w:ascii="Calibri" w:hAnsi="Calibri"/>
          <w:color w:val="181A1F"/>
          <w:w w:val="105"/>
          <w:sz w:val="24"/>
        </w:rPr>
        <w:t>des</w:t>
      </w:r>
      <w:r>
        <w:rPr>
          <w:rFonts w:ascii="Calibri" w:hAnsi="Calibri"/>
          <w:color w:val="181A1F"/>
          <w:spacing w:val="-11"/>
          <w:w w:val="105"/>
          <w:sz w:val="24"/>
        </w:rPr>
        <w:t> </w:t>
      </w:r>
      <w:r>
        <w:rPr>
          <w:rFonts w:ascii="Calibri" w:hAnsi="Calibri"/>
          <w:color w:val="181A1F"/>
          <w:w w:val="105"/>
          <w:sz w:val="24"/>
        </w:rPr>
        <w:t>trois</w:t>
      </w:r>
      <w:r>
        <w:rPr>
          <w:rFonts w:ascii="Calibri" w:hAnsi="Calibri"/>
          <w:color w:val="181A1F"/>
          <w:spacing w:val="-11"/>
          <w:w w:val="105"/>
          <w:sz w:val="24"/>
        </w:rPr>
        <w:t> </w:t>
      </w:r>
      <w:r>
        <w:rPr>
          <w:rFonts w:ascii="Calibri" w:hAnsi="Calibri"/>
          <w:color w:val="181A1F"/>
          <w:w w:val="105"/>
          <w:sz w:val="24"/>
        </w:rPr>
        <w:t>versants</w:t>
      </w:r>
      <w:r>
        <w:rPr>
          <w:rFonts w:ascii="Calibri" w:hAnsi="Calibri"/>
          <w:color w:val="181A1F"/>
          <w:spacing w:val="-11"/>
          <w:w w:val="105"/>
          <w:sz w:val="24"/>
        </w:rPr>
        <w:t> </w:t>
      </w:r>
      <w:r>
        <w:rPr>
          <w:rFonts w:ascii="Calibri" w:hAnsi="Calibri"/>
          <w:color w:val="181A1F"/>
          <w:w w:val="105"/>
          <w:sz w:val="24"/>
        </w:rPr>
        <w:t>de</w:t>
      </w:r>
      <w:r>
        <w:rPr>
          <w:rFonts w:ascii="Calibri" w:hAnsi="Calibri"/>
          <w:color w:val="181A1F"/>
          <w:spacing w:val="-8"/>
          <w:w w:val="105"/>
          <w:sz w:val="24"/>
        </w:rPr>
        <w:t> </w:t>
      </w:r>
      <w:r>
        <w:rPr>
          <w:rFonts w:ascii="Calibri" w:hAnsi="Calibri"/>
          <w:color w:val="181A1F"/>
          <w:w w:val="105"/>
          <w:sz w:val="24"/>
        </w:rPr>
        <w:t>la</w:t>
      </w:r>
      <w:r>
        <w:rPr>
          <w:rFonts w:ascii="Calibri" w:hAnsi="Calibri"/>
          <w:color w:val="181A1F"/>
          <w:spacing w:val="-13"/>
          <w:w w:val="105"/>
          <w:sz w:val="24"/>
        </w:rPr>
        <w:t> </w:t>
      </w:r>
      <w:r>
        <w:rPr>
          <w:rFonts w:ascii="Calibri" w:hAnsi="Calibri"/>
          <w:color w:val="181A1F"/>
          <w:w w:val="105"/>
          <w:sz w:val="24"/>
        </w:rPr>
        <w:t>fonction</w:t>
      </w:r>
      <w:r>
        <w:rPr>
          <w:rFonts w:ascii="Calibri" w:hAnsi="Calibri"/>
          <w:color w:val="181A1F"/>
          <w:spacing w:val="-11"/>
          <w:w w:val="105"/>
          <w:sz w:val="24"/>
        </w:rPr>
        <w:t> </w:t>
      </w:r>
      <w:r>
        <w:rPr>
          <w:rFonts w:ascii="Calibri" w:hAnsi="Calibri"/>
          <w:color w:val="181A1F"/>
          <w:w w:val="105"/>
          <w:sz w:val="24"/>
        </w:rPr>
        <w:t>publique,</w:t>
      </w:r>
      <w:r>
        <w:rPr>
          <w:rFonts w:ascii="Calibri" w:hAnsi="Calibri"/>
          <w:color w:val="181A1F"/>
          <w:spacing w:val="-11"/>
          <w:w w:val="105"/>
          <w:sz w:val="24"/>
        </w:rPr>
        <w:t> </w:t>
      </w:r>
      <w:r>
        <w:rPr>
          <w:rFonts w:ascii="Calibri" w:hAnsi="Calibri"/>
          <w:color w:val="181A1F"/>
          <w:w w:val="105"/>
          <w:sz w:val="24"/>
        </w:rPr>
        <w:t>fonctionnaires</w:t>
      </w:r>
      <w:r>
        <w:rPr>
          <w:rFonts w:ascii="Calibri" w:hAnsi="Calibri"/>
          <w:color w:val="181A1F"/>
          <w:spacing w:val="-8"/>
          <w:w w:val="105"/>
          <w:sz w:val="24"/>
        </w:rPr>
        <w:t> </w:t>
      </w:r>
      <w:r>
        <w:rPr>
          <w:rFonts w:ascii="Calibri" w:hAnsi="Calibri"/>
          <w:color w:val="181A1F"/>
          <w:w w:val="105"/>
          <w:sz w:val="24"/>
        </w:rPr>
        <w:t>et</w:t>
      </w:r>
      <w:r>
        <w:rPr>
          <w:rFonts w:ascii="Calibri" w:hAnsi="Calibri"/>
          <w:color w:val="181A1F"/>
          <w:spacing w:val="-12"/>
          <w:w w:val="105"/>
          <w:sz w:val="24"/>
        </w:rPr>
        <w:t> </w:t>
      </w:r>
      <w:r>
        <w:rPr>
          <w:rFonts w:ascii="Calibri" w:hAnsi="Calibri"/>
          <w:color w:val="181A1F"/>
          <w:w w:val="105"/>
          <w:sz w:val="24"/>
        </w:rPr>
        <w:t>agents.</w:t>
      </w:r>
    </w:p>
    <w:p>
      <w:pPr>
        <w:spacing w:line="244" w:lineRule="auto" w:before="204"/>
        <w:ind w:left="671" w:right="447" w:firstLine="0"/>
        <w:jc w:val="both"/>
        <w:rPr>
          <w:rFonts w:ascii="Calibri" w:hAnsi="Calibri"/>
          <w:b/>
          <w:sz w:val="24"/>
        </w:rPr>
      </w:pPr>
      <w:r>
        <w:rPr>
          <w:rFonts w:ascii="Calibri" w:hAnsi="Calibri"/>
          <w:color w:val="181A1F"/>
          <w:w w:val="105"/>
          <w:sz w:val="24"/>
        </w:rPr>
        <w:t>Le décret n°2020-1547 du 9 décembre 2020 précise les modalités d'application du dispositif dans la fonction publique territoriale. </w:t>
      </w:r>
      <w:r>
        <w:rPr>
          <w:rFonts w:ascii="Calibri" w:hAnsi="Calibri"/>
          <w:b/>
          <w:color w:val="181A1F"/>
          <w:w w:val="105"/>
          <w:sz w:val="24"/>
        </w:rPr>
        <w:t>Les conditions et modalités de versement de ce forfait ont été élargies par un décret du 13 décembre 2022, dont les dispositions s'appliquent rétroactivement aux déplacements effectués à compter du 1er janvier 2022.</w:t>
      </w:r>
    </w:p>
    <w:p>
      <w:pPr>
        <w:pStyle w:val="BodyText"/>
        <w:rPr>
          <w:rFonts w:ascii="Calibri"/>
          <w:b/>
          <w:sz w:val="20"/>
        </w:rPr>
      </w:pPr>
    </w:p>
    <w:p>
      <w:pPr>
        <w:pStyle w:val="BodyText"/>
        <w:spacing w:before="1"/>
        <w:rPr>
          <w:rFonts w:ascii="Calibri"/>
          <w:b/>
        </w:rPr>
      </w:pPr>
    </w:p>
    <w:p>
      <w:pPr>
        <w:pStyle w:val="ListParagraph"/>
        <w:numPr>
          <w:ilvl w:val="0"/>
          <w:numId w:val="4"/>
        </w:numPr>
        <w:tabs>
          <w:tab w:pos="1379" w:val="left" w:leader="none"/>
          <w:tab w:pos="1380" w:val="left" w:leader="none"/>
        </w:tabs>
        <w:spacing w:line="240" w:lineRule="auto" w:before="101" w:after="0"/>
        <w:ind w:left="1380" w:right="0" w:hanging="574"/>
        <w:jc w:val="left"/>
        <w:rPr>
          <w:rFonts w:ascii="Tahoma" w:hAnsi="Tahoma"/>
          <w:b/>
          <w:sz w:val="28"/>
        </w:rPr>
      </w:pPr>
      <w:r>
        <w:rPr>
          <w:rFonts w:ascii="Tahoma" w:hAnsi="Tahoma"/>
          <w:b/>
          <w:spacing w:val="-188"/>
          <w:sz w:val="28"/>
          <w:u w:val="thick"/>
        </w:rPr>
        <w:t>C</w:t>
      </w:r>
      <w:r>
        <w:rPr>
          <w:rFonts w:ascii="Tahoma" w:hAnsi="Tahoma"/>
          <w:b/>
          <w:spacing w:val="108"/>
          <w:sz w:val="28"/>
        </w:rPr>
        <w:t> </w:t>
      </w:r>
      <w:r>
        <w:rPr>
          <w:rFonts w:ascii="Tahoma" w:hAnsi="Tahoma"/>
          <w:b/>
          <w:sz w:val="28"/>
          <w:u w:val="thick"/>
        </w:rPr>
        <w:t>onditions d’octroi</w:t>
      </w:r>
      <w:r>
        <w:rPr>
          <w:rFonts w:ascii="Tahoma" w:hAnsi="Tahoma"/>
          <w:b/>
          <w:sz w:val="28"/>
        </w:rPr>
        <w:t> :</w:t>
      </w:r>
    </w:p>
    <w:p>
      <w:pPr>
        <w:pStyle w:val="BodyText"/>
        <w:spacing w:before="6"/>
        <w:rPr>
          <w:rFonts w:ascii="Tahoma"/>
          <w:b/>
          <w:sz w:val="21"/>
        </w:rPr>
      </w:pPr>
    </w:p>
    <w:p>
      <w:pPr>
        <w:pStyle w:val="ListParagraph"/>
        <w:numPr>
          <w:ilvl w:val="1"/>
          <w:numId w:val="4"/>
        </w:numPr>
        <w:tabs>
          <w:tab w:pos="1715" w:val="left" w:leader="none"/>
        </w:tabs>
        <w:spacing w:line="240" w:lineRule="auto" w:before="101" w:after="0"/>
        <w:ind w:left="1714" w:right="0" w:hanging="323"/>
        <w:jc w:val="left"/>
        <w:rPr>
          <w:rFonts w:ascii="Tahoma" w:hAnsi="Tahoma"/>
          <w:b/>
          <w:sz w:val="24"/>
        </w:rPr>
      </w:pPr>
      <w:r>
        <w:rPr>
          <w:rFonts w:ascii="Tahoma" w:hAnsi="Tahoma"/>
          <w:b/>
          <w:sz w:val="24"/>
          <w:u w:val="thick"/>
        </w:rPr>
        <w:t>) Modes de transport</w:t>
      </w:r>
      <w:r>
        <w:rPr>
          <w:rFonts w:ascii="Tahoma" w:hAnsi="Tahoma"/>
          <w:b/>
          <w:spacing w:val="-5"/>
          <w:sz w:val="24"/>
          <w:u w:val="thick"/>
        </w:rPr>
        <w:t> </w:t>
      </w:r>
      <w:r>
        <w:rPr>
          <w:rFonts w:ascii="Tahoma" w:hAnsi="Tahoma"/>
          <w:b/>
          <w:sz w:val="24"/>
          <w:u w:val="thick"/>
        </w:rPr>
        <w:t>éligibles</w:t>
      </w:r>
    </w:p>
    <w:p>
      <w:pPr>
        <w:spacing w:before="120"/>
        <w:ind w:left="1380" w:right="473" w:firstLine="0"/>
        <w:jc w:val="left"/>
        <w:rPr>
          <w:rFonts w:ascii="Tahoma" w:hAnsi="Tahoma"/>
          <w:sz w:val="24"/>
        </w:rPr>
      </w:pPr>
      <w:r>
        <w:rPr>
          <w:rFonts w:ascii="Tahoma" w:hAnsi="Tahoma"/>
          <w:color w:val="181A1F"/>
          <w:sz w:val="24"/>
        </w:rPr>
        <w:t>Le "forfait mobilités durables" consiste à l’employeur de prendre en charge, en tout ou partie, les frais engagés par ses agents (fonctionnaires et contractuels) qui se déplacent entre leur résidence habituelle et leur lieu de travail, à compter du 11 mai 2020 :</w:t>
      </w:r>
    </w:p>
    <w:p>
      <w:pPr>
        <w:pStyle w:val="BodyText"/>
        <w:spacing w:before="3"/>
        <w:rPr>
          <w:rFonts w:ascii="Tahoma"/>
          <w:sz w:val="24"/>
        </w:rPr>
      </w:pPr>
    </w:p>
    <w:p>
      <w:pPr>
        <w:pStyle w:val="ListParagraph"/>
        <w:numPr>
          <w:ilvl w:val="0"/>
          <w:numId w:val="5"/>
        </w:numPr>
        <w:tabs>
          <w:tab w:pos="1554" w:val="left" w:leader="none"/>
        </w:tabs>
        <w:spacing w:line="240" w:lineRule="auto" w:before="0" w:after="0"/>
        <w:ind w:left="1553" w:right="0" w:hanging="174"/>
        <w:jc w:val="left"/>
        <w:rPr>
          <w:rFonts w:ascii="Tahoma" w:hAnsi="Tahoma"/>
          <w:b/>
          <w:sz w:val="24"/>
        </w:rPr>
      </w:pPr>
      <w:r>
        <w:rPr>
          <w:rFonts w:ascii="Tahoma" w:hAnsi="Tahoma"/>
          <w:b/>
          <w:sz w:val="24"/>
        </w:rPr>
        <w:t>à vélo ou à vélo à assistance électrique</w:t>
      </w:r>
      <w:r>
        <w:rPr>
          <w:rFonts w:ascii="Tahoma" w:hAnsi="Tahoma"/>
          <w:b/>
          <w:spacing w:val="-5"/>
          <w:sz w:val="24"/>
        </w:rPr>
        <w:t> </w:t>
      </w:r>
      <w:r>
        <w:rPr>
          <w:rFonts w:ascii="Tahoma" w:hAnsi="Tahoma"/>
          <w:b/>
          <w:sz w:val="24"/>
        </w:rPr>
        <w:t>personnel,</w:t>
      </w:r>
    </w:p>
    <w:p>
      <w:pPr>
        <w:pStyle w:val="ListParagraph"/>
        <w:numPr>
          <w:ilvl w:val="0"/>
          <w:numId w:val="5"/>
        </w:numPr>
        <w:tabs>
          <w:tab w:pos="1554" w:val="left" w:leader="none"/>
        </w:tabs>
        <w:spacing w:line="240" w:lineRule="auto" w:before="1" w:after="0"/>
        <w:ind w:left="1553" w:right="0" w:hanging="174"/>
        <w:jc w:val="left"/>
        <w:rPr>
          <w:rFonts w:ascii="Tahoma" w:hAnsi="Tahoma"/>
          <w:b/>
          <w:sz w:val="24"/>
        </w:rPr>
      </w:pPr>
      <w:r>
        <w:rPr>
          <w:rFonts w:ascii="Tahoma" w:hAnsi="Tahoma"/>
          <w:b/>
          <w:sz w:val="24"/>
        </w:rPr>
        <w:t>ou en covoiturage, en tant que conducteur ou</w:t>
      </w:r>
      <w:r>
        <w:rPr>
          <w:rFonts w:ascii="Tahoma" w:hAnsi="Tahoma"/>
          <w:b/>
          <w:spacing w:val="-8"/>
          <w:sz w:val="24"/>
        </w:rPr>
        <w:t> </w:t>
      </w:r>
      <w:r>
        <w:rPr>
          <w:rFonts w:ascii="Tahoma" w:hAnsi="Tahoma"/>
          <w:b/>
          <w:sz w:val="24"/>
        </w:rPr>
        <w:t>passager.</w:t>
      </w:r>
    </w:p>
    <w:p>
      <w:pPr>
        <w:spacing w:before="101"/>
        <w:ind w:left="1380" w:right="0" w:firstLine="0"/>
        <w:jc w:val="left"/>
        <w:rPr>
          <w:rFonts w:ascii="Tahoma" w:hAnsi="Tahoma"/>
          <w:sz w:val="24"/>
        </w:rPr>
      </w:pPr>
      <w:r>
        <w:rPr>
          <w:rFonts w:ascii="Tahoma" w:hAnsi="Tahoma"/>
          <w:sz w:val="24"/>
          <w:u w:val="single"/>
        </w:rPr>
        <w:t>Pour les déplacement effectués à compter du 1er janvier 2022</w:t>
      </w:r>
      <w:r>
        <w:rPr>
          <w:rFonts w:ascii="Tahoma" w:hAnsi="Tahoma"/>
          <w:sz w:val="24"/>
        </w:rPr>
        <w:t> :</w:t>
      </w:r>
    </w:p>
    <w:p>
      <w:pPr>
        <w:pStyle w:val="ListParagraph"/>
        <w:numPr>
          <w:ilvl w:val="0"/>
          <w:numId w:val="5"/>
        </w:numPr>
        <w:tabs>
          <w:tab w:pos="1554" w:val="left" w:leader="none"/>
        </w:tabs>
        <w:spacing w:line="240" w:lineRule="auto" w:before="1" w:after="0"/>
        <w:ind w:left="1380" w:right="933" w:firstLine="0"/>
        <w:jc w:val="left"/>
        <w:rPr>
          <w:rFonts w:ascii="Tahoma" w:hAnsi="Tahoma"/>
          <w:sz w:val="24"/>
        </w:rPr>
      </w:pPr>
      <w:r>
        <w:rPr>
          <w:rFonts w:ascii="Tahoma" w:hAnsi="Tahoma"/>
          <w:b/>
          <w:sz w:val="24"/>
        </w:rPr>
        <w:t>avec un engin de déplacement personnel motorisé </w:t>
      </w:r>
      <w:r>
        <w:rPr>
          <w:rFonts w:ascii="Tahoma" w:hAnsi="Tahoma"/>
          <w:sz w:val="24"/>
        </w:rPr>
        <w:t>: trottinette ,</w:t>
      </w:r>
      <w:r>
        <w:rPr>
          <w:rFonts w:ascii="Tahoma" w:hAnsi="Tahoma"/>
          <w:spacing w:val="-26"/>
          <w:sz w:val="24"/>
        </w:rPr>
        <w:t> </w:t>
      </w:r>
      <w:r>
        <w:rPr>
          <w:rFonts w:ascii="Tahoma" w:hAnsi="Tahoma"/>
          <w:sz w:val="24"/>
        </w:rPr>
        <w:t>mono-roues, gyropodes, hoverboard... (art. R. 311-1 code de la</w:t>
      </w:r>
      <w:r>
        <w:rPr>
          <w:rFonts w:ascii="Tahoma" w:hAnsi="Tahoma"/>
          <w:spacing w:val="-10"/>
          <w:sz w:val="24"/>
        </w:rPr>
        <w:t> </w:t>
      </w:r>
      <w:r>
        <w:rPr>
          <w:rFonts w:ascii="Tahoma" w:hAnsi="Tahoma"/>
          <w:sz w:val="24"/>
        </w:rPr>
        <w:t>route)</w:t>
      </w:r>
    </w:p>
    <w:p>
      <w:pPr>
        <w:pStyle w:val="ListParagraph"/>
        <w:numPr>
          <w:ilvl w:val="0"/>
          <w:numId w:val="5"/>
        </w:numPr>
        <w:tabs>
          <w:tab w:pos="1554" w:val="left" w:leader="none"/>
        </w:tabs>
        <w:spacing w:line="240" w:lineRule="auto" w:before="1" w:after="0"/>
        <w:ind w:left="1553" w:right="0" w:hanging="174"/>
        <w:jc w:val="left"/>
        <w:rPr>
          <w:rFonts w:ascii="Tahoma" w:hAnsi="Tahoma"/>
          <w:sz w:val="24"/>
        </w:rPr>
      </w:pPr>
      <w:r>
        <w:rPr>
          <w:rFonts w:ascii="Tahoma" w:hAnsi="Tahoma"/>
          <w:b/>
          <w:sz w:val="24"/>
        </w:rPr>
        <w:t>en utilisant des services de mobilité partagée </w:t>
      </w:r>
      <w:r>
        <w:rPr>
          <w:rFonts w:ascii="Tahoma" w:hAnsi="Tahoma"/>
          <w:sz w:val="24"/>
        </w:rPr>
        <w:t>(art. R 3261-13-1 code du travail)</w:t>
      </w:r>
      <w:r>
        <w:rPr>
          <w:rFonts w:ascii="Tahoma" w:hAnsi="Tahoma"/>
          <w:spacing w:val="-25"/>
          <w:sz w:val="24"/>
        </w:rPr>
        <w:t> </w:t>
      </w:r>
      <w:r>
        <w:rPr>
          <w:rFonts w:ascii="Tahoma" w:hAnsi="Tahoma"/>
          <w:sz w:val="24"/>
        </w:rPr>
        <w:t>:</w:t>
      </w:r>
    </w:p>
    <w:p>
      <w:pPr>
        <w:spacing w:before="1"/>
        <w:ind w:left="1380" w:right="658" w:firstLine="297"/>
        <w:jc w:val="left"/>
        <w:rPr>
          <w:rFonts w:ascii="Tahoma" w:hAnsi="Tahoma"/>
          <w:sz w:val="24"/>
        </w:rPr>
      </w:pPr>
      <w:r>
        <w:rPr>
          <w:rFonts w:ascii="Tahoma" w:hAnsi="Tahoma"/>
          <w:sz w:val="24"/>
        </w:rPr>
        <w:t>=&gt; véhicules en location ou mis à disposition en libre service : cyclomoteurs, motocyclettes, cycles ou cycles à pédalage assisté, engins de déplacement motorisés ou non (sous réserve que le moteur ou l'assistance soient non thermiques lorsqu'ils sont motorisés),</w:t>
      </w:r>
    </w:p>
    <w:p>
      <w:pPr>
        <w:spacing w:before="3"/>
        <w:ind w:left="1380" w:right="689" w:firstLine="297"/>
        <w:jc w:val="left"/>
        <w:rPr>
          <w:rFonts w:ascii="Tahoma" w:hAnsi="Tahoma"/>
          <w:sz w:val="24"/>
        </w:rPr>
      </w:pPr>
      <w:r>
        <w:rPr>
          <w:rFonts w:ascii="Tahoma" w:hAnsi="Tahoma"/>
          <w:sz w:val="24"/>
        </w:rPr>
        <w:t>=&gt; services d'auto-partage (sous réserve que les véhicules mis à disposition soient à faibles émissions).</w:t>
      </w:r>
    </w:p>
    <w:p>
      <w:pPr>
        <w:pStyle w:val="BodyText"/>
        <w:spacing w:before="6"/>
        <w:rPr>
          <w:rFonts w:ascii="Tahoma"/>
          <w:sz w:val="32"/>
        </w:rPr>
      </w:pPr>
    </w:p>
    <w:p>
      <w:pPr>
        <w:spacing w:before="0"/>
        <w:ind w:left="1380" w:right="0" w:firstLine="0"/>
        <w:jc w:val="left"/>
        <w:rPr>
          <w:rFonts w:ascii="Tahoma" w:hAnsi="Tahoma"/>
          <w:sz w:val="24"/>
        </w:rPr>
      </w:pPr>
      <w:r>
        <w:rPr>
          <w:rFonts w:ascii="Tahoma" w:hAnsi="Tahoma"/>
          <w:color w:val="181A1F"/>
          <w:sz w:val="24"/>
        </w:rPr>
        <w:t>L'organe délibérant de la collectivité territoriale ou de </w:t>
      </w:r>
      <w:r>
        <w:rPr>
          <w:rFonts w:ascii="Tahoma" w:hAnsi="Tahoma"/>
          <w:sz w:val="24"/>
        </w:rPr>
        <w:t>son établissement public fixe les modalités </w:t>
      </w:r>
      <w:r>
        <w:rPr>
          <w:rFonts w:ascii="Tahoma" w:hAnsi="Tahoma"/>
          <w:color w:val="181A1F"/>
          <w:sz w:val="24"/>
        </w:rPr>
        <w:t>d’octroi du forfait par délibération.</w:t>
      </w:r>
    </w:p>
    <w:p>
      <w:pPr>
        <w:spacing w:after="0"/>
        <w:jc w:val="left"/>
        <w:rPr>
          <w:rFonts w:ascii="Tahoma" w:hAnsi="Tahoma"/>
          <w:sz w:val="24"/>
        </w:rPr>
        <w:sectPr>
          <w:pgSz w:w="11910" w:h="16840"/>
          <w:pgMar w:top="620" w:bottom="280" w:left="180" w:right="340"/>
        </w:sectPr>
      </w:pPr>
    </w:p>
    <w:p>
      <w:pPr>
        <w:pStyle w:val="ListParagraph"/>
        <w:numPr>
          <w:ilvl w:val="1"/>
          <w:numId w:val="4"/>
        </w:numPr>
        <w:tabs>
          <w:tab w:pos="1752" w:val="left" w:leader="none"/>
        </w:tabs>
        <w:spacing w:line="240" w:lineRule="auto" w:before="89" w:after="0"/>
        <w:ind w:left="1752" w:right="0" w:hanging="360"/>
        <w:jc w:val="left"/>
        <w:rPr>
          <w:rFonts w:ascii="Tahoma"/>
          <w:b/>
          <w:sz w:val="24"/>
        </w:rPr>
      </w:pPr>
      <w:r>
        <w:rPr>
          <w:rFonts w:ascii="Tahoma"/>
          <w:b/>
          <w:spacing w:val="-185"/>
          <w:sz w:val="24"/>
          <w:u w:val="thick"/>
        </w:rPr>
        <w:t>N</w:t>
      </w:r>
      <w:r>
        <w:rPr>
          <w:rFonts w:ascii="Tahoma"/>
          <w:b/>
          <w:spacing w:val="117"/>
          <w:sz w:val="24"/>
        </w:rPr>
        <w:t> </w:t>
      </w:r>
      <w:r>
        <w:rPr>
          <w:rFonts w:ascii="Tahoma"/>
          <w:b/>
          <w:sz w:val="24"/>
          <w:u w:val="thick"/>
        </w:rPr>
        <w:t>ombre minimal de jours d'utilisation</w:t>
      </w:r>
      <w:r>
        <w:rPr>
          <w:rFonts w:ascii="Tahoma"/>
          <w:b/>
          <w:spacing w:val="-13"/>
          <w:sz w:val="24"/>
          <w:u w:val="thick"/>
        </w:rPr>
        <w:t> </w:t>
      </w:r>
      <w:r>
        <w:rPr>
          <w:rFonts w:ascii="Tahoma"/>
          <w:b/>
          <w:sz w:val="24"/>
          <w:u w:val="thick"/>
        </w:rPr>
        <w:t>requis</w:t>
      </w:r>
    </w:p>
    <w:p>
      <w:pPr>
        <w:pStyle w:val="BodyText"/>
        <w:spacing w:before="1"/>
        <w:rPr>
          <w:rFonts w:ascii="Tahoma"/>
          <w:b/>
          <w:sz w:val="10"/>
        </w:rPr>
      </w:pPr>
    </w:p>
    <w:p>
      <w:pPr>
        <w:spacing w:before="100"/>
        <w:ind w:left="1380" w:right="473" w:firstLine="0"/>
        <w:jc w:val="left"/>
        <w:rPr>
          <w:rFonts w:ascii="Tahoma" w:hAnsi="Tahoma"/>
          <w:sz w:val="24"/>
        </w:rPr>
      </w:pPr>
      <w:r>
        <w:rPr>
          <w:rFonts w:ascii="Tahoma" w:hAnsi="Tahoma"/>
          <w:b/>
          <w:color w:val="181A1F"/>
          <w:sz w:val="24"/>
        </w:rPr>
        <w:t>A compter du 1er janvier 2022, </w:t>
      </w:r>
      <w:r>
        <w:rPr>
          <w:rFonts w:ascii="Tahoma" w:hAnsi="Tahoma"/>
          <w:color w:val="181A1F"/>
          <w:sz w:val="24"/>
        </w:rPr>
        <w:t>le nombre minimal d’utilisation d’un moyen de transport éligible est fixé à </w:t>
      </w:r>
      <w:r>
        <w:rPr>
          <w:rFonts w:ascii="Tahoma" w:hAnsi="Tahoma"/>
          <w:b/>
          <w:color w:val="181A1F"/>
          <w:sz w:val="24"/>
        </w:rPr>
        <w:t>30 jours</w:t>
      </w:r>
      <w:r>
        <w:rPr>
          <w:rFonts w:ascii="Tahoma" w:hAnsi="Tahoma"/>
          <w:color w:val="181A1F"/>
          <w:sz w:val="24"/>
        </w:rPr>
        <w:t>. Ce nombre est modulé en fonction de la quotité de temps de travail de l'agent.</w:t>
      </w:r>
    </w:p>
    <w:p>
      <w:pPr>
        <w:spacing w:before="2"/>
        <w:ind w:left="591" w:right="90" w:firstLine="0"/>
        <w:jc w:val="center"/>
        <w:rPr>
          <w:rFonts w:ascii="Tahoma" w:hAnsi="Tahoma"/>
          <w:b/>
          <w:sz w:val="24"/>
        </w:rPr>
      </w:pPr>
      <w:r>
        <w:rPr>
          <w:rFonts w:ascii="Tahoma" w:hAnsi="Tahoma"/>
          <w:b/>
          <w:color w:val="181A1F"/>
          <w:spacing w:val="-165"/>
          <w:sz w:val="24"/>
          <w:u w:val="thick" w:color="181A1F"/>
        </w:rPr>
        <w:t>A</w:t>
      </w:r>
      <w:r>
        <w:rPr>
          <w:rFonts w:ascii="Tahoma" w:hAnsi="Tahoma"/>
          <w:b/>
          <w:color w:val="181A1F"/>
          <w:spacing w:val="164"/>
          <w:sz w:val="24"/>
        </w:rPr>
        <w:t> </w:t>
      </w:r>
      <w:r>
        <w:rPr>
          <w:rFonts w:ascii="Tahoma" w:hAnsi="Tahoma"/>
          <w:b/>
          <w:color w:val="181A1F"/>
          <w:sz w:val="24"/>
          <w:u w:val="thick" w:color="181A1F"/>
        </w:rPr>
        <w:t>noter</w:t>
      </w:r>
      <w:r>
        <w:rPr>
          <w:rFonts w:ascii="Tahoma" w:hAnsi="Tahoma"/>
          <w:b/>
          <w:color w:val="181A1F"/>
          <w:sz w:val="24"/>
        </w:rPr>
        <w:t> : pour les déplacements effectués à compter du 1er janvier 2022,</w:t>
      </w:r>
      <w:r>
        <w:rPr>
          <w:rFonts w:ascii="Tahoma" w:hAnsi="Tahoma"/>
          <w:b/>
          <w:color w:val="181A1F"/>
          <w:spacing w:val="-26"/>
          <w:sz w:val="24"/>
        </w:rPr>
        <w:t> </w:t>
      </w:r>
      <w:r>
        <w:rPr>
          <w:rFonts w:ascii="Tahoma" w:hAnsi="Tahoma"/>
          <w:b/>
          <w:color w:val="181A1F"/>
          <w:sz w:val="24"/>
        </w:rPr>
        <w:t>ce</w:t>
      </w:r>
    </w:p>
    <w:p>
      <w:pPr>
        <w:spacing w:before="1"/>
        <w:ind w:left="1380" w:right="533" w:firstLine="0"/>
        <w:jc w:val="left"/>
        <w:rPr>
          <w:rFonts w:ascii="Tahoma" w:hAnsi="Tahoma"/>
          <w:b/>
          <w:sz w:val="24"/>
        </w:rPr>
      </w:pPr>
      <w:r>
        <w:rPr>
          <w:rFonts w:ascii="Tahoma" w:hAnsi="Tahoma"/>
          <w:b/>
          <w:color w:val="181A1F"/>
          <w:sz w:val="24"/>
        </w:rPr>
        <w:t>nombre de jours n'est plus modulé à proportion de la durée de présence de l'agent dans l'année puisque le montant du forfait est désormais</w:t>
      </w:r>
      <w:r>
        <w:rPr>
          <w:rFonts w:ascii="Tahoma" w:hAnsi="Tahoma"/>
          <w:b/>
          <w:color w:val="181A1F"/>
          <w:spacing w:val="-21"/>
          <w:sz w:val="24"/>
        </w:rPr>
        <w:t> </w:t>
      </w:r>
      <w:r>
        <w:rPr>
          <w:rFonts w:ascii="Tahoma" w:hAnsi="Tahoma"/>
          <w:b/>
          <w:color w:val="181A1F"/>
          <w:sz w:val="24"/>
        </w:rPr>
        <w:t>proportionnel au nombre de jours d'utilisation par l'agent d'un mode de transport</w:t>
      </w:r>
      <w:r>
        <w:rPr>
          <w:rFonts w:ascii="Tahoma" w:hAnsi="Tahoma"/>
          <w:b/>
          <w:color w:val="181A1F"/>
          <w:spacing w:val="-17"/>
          <w:sz w:val="24"/>
        </w:rPr>
        <w:t> </w:t>
      </w:r>
      <w:r>
        <w:rPr>
          <w:rFonts w:ascii="Tahoma" w:hAnsi="Tahoma"/>
          <w:b/>
          <w:color w:val="181A1F"/>
          <w:sz w:val="24"/>
        </w:rPr>
        <w:t>éligible.</w:t>
      </w:r>
    </w:p>
    <w:p>
      <w:pPr>
        <w:spacing w:before="204"/>
        <w:ind w:left="1380" w:right="473" w:firstLine="0"/>
        <w:jc w:val="left"/>
        <w:rPr>
          <w:rFonts w:ascii="Tahoma" w:hAnsi="Tahoma"/>
          <w:b/>
          <w:sz w:val="24"/>
        </w:rPr>
      </w:pPr>
      <w:r>
        <w:rPr>
          <w:rFonts w:ascii="Tahoma" w:hAnsi="Tahoma"/>
          <w:color w:val="181A1F"/>
          <w:sz w:val="24"/>
        </w:rPr>
        <w:t>L'agent peut utiliser </w:t>
      </w:r>
      <w:r>
        <w:rPr>
          <w:rFonts w:ascii="Tahoma" w:hAnsi="Tahoma"/>
          <w:b/>
          <w:color w:val="181A1F"/>
          <w:sz w:val="24"/>
        </w:rPr>
        <w:t>cumulativement l'un des modes de transport éligibles au cours d'une même année pour atteindre le nombre minimal de jours d'utilisation.</w:t>
      </w:r>
    </w:p>
    <w:p>
      <w:pPr>
        <w:pStyle w:val="BodyText"/>
        <w:rPr>
          <w:rFonts w:ascii="Tahoma"/>
          <w:b/>
          <w:sz w:val="20"/>
        </w:rPr>
      </w:pPr>
    </w:p>
    <w:p>
      <w:pPr>
        <w:pStyle w:val="BodyText"/>
        <w:spacing w:before="2"/>
        <w:rPr>
          <w:rFonts w:ascii="Tahoma"/>
          <w:b/>
          <w:sz w:val="24"/>
        </w:rPr>
      </w:pPr>
    </w:p>
    <w:p>
      <w:pPr>
        <w:pStyle w:val="ListParagraph"/>
        <w:numPr>
          <w:ilvl w:val="0"/>
          <w:numId w:val="4"/>
        </w:numPr>
        <w:tabs>
          <w:tab w:pos="1379" w:val="left" w:leader="none"/>
          <w:tab w:pos="1380" w:val="left" w:leader="none"/>
        </w:tabs>
        <w:spacing w:line="240" w:lineRule="auto" w:before="101" w:after="0"/>
        <w:ind w:left="1380" w:right="0" w:hanging="711"/>
        <w:jc w:val="left"/>
        <w:rPr>
          <w:rFonts w:ascii="Tahoma" w:hAnsi="Tahoma"/>
          <w:b/>
          <w:sz w:val="28"/>
        </w:rPr>
      </w:pPr>
      <w:r>
        <w:rPr>
          <w:rFonts w:ascii="Tahoma" w:hAnsi="Tahoma"/>
          <w:b/>
          <w:spacing w:val="-251"/>
          <w:sz w:val="28"/>
          <w:u w:val="thick"/>
        </w:rPr>
        <w:t>M</w:t>
      </w:r>
      <w:r>
        <w:rPr>
          <w:rFonts w:ascii="Tahoma" w:hAnsi="Tahoma"/>
          <w:b/>
          <w:spacing w:val="172"/>
          <w:sz w:val="28"/>
        </w:rPr>
        <w:t> </w:t>
      </w:r>
      <w:r>
        <w:rPr>
          <w:rFonts w:ascii="Tahoma" w:hAnsi="Tahoma"/>
          <w:b/>
          <w:sz w:val="28"/>
          <w:u w:val="thick"/>
        </w:rPr>
        <w:t>odalités de prise en</w:t>
      </w:r>
      <w:r>
        <w:rPr>
          <w:rFonts w:ascii="Tahoma" w:hAnsi="Tahoma"/>
          <w:b/>
          <w:spacing w:val="-8"/>
          <w:sz w:val="28"/>
          <w:u w:val="thick"/>
        </w:rPr>
        <w:t> </w:t>
      </w:r>
      <w:r>
        <w:rPr>
          <w:rFonts w:ascii="Tahoma" w:hAnsi="Tahoma"/>
          <w:b/>
          <w:sz w:val="28"/>
          <w:u w:val="thick"/>
        </w:rPr>
        <w:t>charge</w:t>
      </w:r>
    </w:p>
    <w:p>
      <w:pPr>
        <w:pStyle w:val="BodyText"/>
        <w:spacing w:before="1"/>
        <w:rPr>
          <w:rFonts w:ascii="Tahoma"/>
          <w:b/>
          <w:sz w:val="21"/>
        </w:rPr>
      </w:pPr>
    </w:p>
    <w:p>
      <w:pPr>
        <w:spacing w:after="0"/>
        <w:rPr>
          <w:rFonts w:ascii="Tahoma"/>
          <w:sz w:val="21"/>
        </w:rPr>
        <w:sectPr>
          <w:pgSz w:w="11910" w:h="16840"/>
          <w:pgMar w:top="600" w:bottom="280" w:left="180" w:right="340"/>
        </w:sectPr>
      </w:pPr>
    </w:p>
    <w:p>
      <w:pPr>
        <w:pStyle w:val="ListParagraph"/>
        <w:numPr>
          <w:ilvl w:val="1"/>
          <w:numId w:val="4"/>
        </w:numPr>
        <w:tabs>
          <w:tab w:pos="360" w:val="left" w:leader="none"/>
        </w:tabs>
        <w:spacing w:line="240" w:lineRule="auto" w:before="100" w:after="0"/>
        <w:ind w:left="1740" w:right="0" w:hanging="1740"/>
        <w:jc w:val="right"/>
        <w:rPr>
          <w:rFonts w:ascii="Tahoma"/>
          <w:color w:val="181A1F"/>
          <w:sz w:val="24"/>
        </w:rPr>
      </w:pPr>
      <w:r>
        <w:rPr>
          <w:rFonts w:ascii="Tahoma"/>
          <w:b/>
          <w:color w:val="181A1F"/>
          <w:spacing w:val="-182"/>
          <w:sz w:val="24"/>
          <w:u w:val="thick" w:color="181A1F"/>
        </w:rPr>
        <w:t>D</w:t>
      </w:r>
      <w:r>
        <w:rPr>
          <w:rFonts w:ascii="Times New Roman"/>
          <w:color w:val="181A1F"/>
          <w:spacing w:val="-4"/>
          <w:sz w:val="24"/>
          <w:u w:val="thick" w:color="181A1F"/>
        </w:rPr>
        <w:t> </w:t>
      </w:r>
    </w:p>
    <w:p>
      <w:pPr>
        <w:spacing w:before="100"/>
        <w:ind w:left="85" w:right="0" w:firstLine="0"/>
        <w:jc w:val="left"/>
        <w:rPr>
          <w:rFonts w:ascii="Tahoma" w:hAnsi="Tahoma"/>
          <w:b/>
          <w:sz w:val="24"/>
        </w:rPr>
      </w:pPr>
      <w:r>
        <w:rPr/>
        <w:br w:type="column"/>
      </w:r>
      <w:r>
        <w:rPr>
          <w:rFonts w:ascii="Tahoma" w:hAnsi="Tahoma"/>
          <w:b/>
          <w:color w:val="181A1F"/>
          <w:sz w:val="24"/>
          <w:u w:val="thick" w:color="181A1F"/>
        </w:rPr>
        <w:t>éclaration sur l'honneur</w:t>
      </w:r>
    </w:p>
    <w:p>
      <w:pPr>
        <w:spacing w:before="101"/>
        <w:ind w:left="-30" w:right="676" w:firstLine="0"/>
        <w:jc w:val="left"/>
        <w:rPr>
          <w:rFonts w:ascii="Tahoma" w:hAnsi="Tahoma"/>
          <w:sz w:val="24"/>
        </w:rPr>
      </w:pPr>
      <w:r>
        <w:rPr>
          <w:rFonts w:ascii="Tahoma" w:hAnsi="Tahoma"/>
          <w:color w:val="181A1F"/>
          <w:sz w:val="24"/>
        </w:rPr>
        <w:t>Une déclaration sur l’honneur doit être établie par l’agent auprès de son employeur, au plus tard le 31 décembre de l'année au titre de laquelle le forfait est versé.</w:t>
      </w:r>
    </w:p>
    <w:p>
      <w:pPr>
        <w:spacing w:line="225" w:lineRule="auto" w:before="204"/>
        <w:ind w:left="-30" w:right="777" w:firstLine="0"/>
        <w:jc w:val="left"/>
        <w:rPr>
          <w:rFonts w:ascii="Verdana" w:hAnsi="Verdana"/>
          <w:b/>
          <w:i/>
          <w:sz w:val="21"/>
        </w:rPr>
      </w:pPr>
      <w:r>
        <w:rPr>
          <w:rFonts w:ascii="Verdana" w:hAnsi="Verdana"/>
          <w:b/>
          <w:i/>
          <w:color w:val="181A1F"/>
          <w:w w:val="95"/>
          <w:sz w:val="21"/>
        </w:rPr>
        <w:t>A</w:t>
      </w:r>
      <w:r>
        <w:rPr>
          <w:rFonts w:ascii="Verdana" w:hAnsi="Verdana"/>
          <w:b/>
          <w:i/>
          <w:color w:val="181A1F"/>
          <w:spacing w:val="-42"/>
          <w:w w:val="95"/>
          <w:sz w:val="21"/>
        </w:rPr>
        <w:t> </w:t>
      </w:r>
      <w:r>
        <w:rPr>
          <w:rFonts w:ascii="Verdana" w:hAnsi="Verdana"/>
          <w:b/>
          <w:i/>
          <w:color w:val="181A1F"/>
          <w:w w:val="95"/>
          <w:sz w:val="21"/>
        </w:rPr>
        <w:t>noter</w:t>
      </w:r>
      <w:r>
        <w:rPr>
          <w:rFonts w:ascii="Verdana" w:hAnsi="Verdana"/>
          <w:b/>
          <w:i/>
          <w:color w:val="181A1F"/>
          <w:spacing w:val="-42"/>
          <w:w w:val="95"/>
          <w:sz w:val="21"/>
        </w:rPr>
        <w:t> </w:t>
      </w:r>
      <w:r>
        <w:rPr>
          <w:rFonts w:ascii="Verdana" w:hAnsi="Verdana"/>
          <w:b/>
          <w:i/>
          <w:color w:val="181A1F"/>
          <w:w w:val="95"/>
          <w:sz w:val="21"/>
        </w:rPr>
        <w:t>:</w:t>
      </w:r>
      <w:r>
        <w:rPr>
          <w:rFonts w:ascii="Verdana" w:hAnsi="Verdana"/>
          <w:b/>
          <w:i/>
          <w:color w:val="181A1F"/>
          <w:spacing w:val="-42"/>
          <w:w w:val="95"/>
          <w:sz w:val="21"/>
        </w:rPr>
        <w:t> </w:t>
      </w:r>
      <w:r>
        <w:rPr>
          <w:rFonts w:ascii="Verdana" w:hAnsi="Verdana"/>
          <w:b/>
          <w:i/>
          <w:color w:val="181A1F"/>
          <w:w w:val="95"/>
          <w:sz w:val="21"/>
        </w:rPr>
        <w:t>à</w:t>
      </w:r>
      <w:r>
        <w:rPr>
          <w:rFonts w:ascii="Verdana" w:hAnsi="Verdana"/>
          <w:b/>
          <w:i/>
          <w:color w:val="181A1F"/>
          <w:spacing w:val="-41"/>
          <w:w w:val="95"/>
          <w:sz w:val="21"/>
        </w:rPr>
        <w:t> </w:t>
      </w:r>
      <w:r>
        <w:rPr>
          <w:rFonts w:ascii="Verdana" w:hAnsi="Verdana"/>
          <w:b/>
          <w:i/>
          <w:color w:val="181A1F"/>
          <w:w w:val="95"/>
          <w:sz w:val="21"/>
        </w:rPr>
        <w:t>titre</w:t>
      </w:r>
      <w:r>
        <w:rPr>
          <w:rFonts w:ascii="Verdana" w:hAnsi="Verdana"/>
          <w:b/>
          <w:i/>
          <w:color w:val="181A1F"/>
          <w:spacing w:val="-42"/>
          <w:w w:val="95"/>
          <w:sz w:val="21"/>
        </w:rPr>
        <w:t> </w:t>
      </w:r>
      <w:r>
        <w:rPr>
          <w:rFonts w:ascii="Verdana" w:hAnsi="Verdana"/>
          <w:b/>
          <w:i/>
          <w:color w:val="181A1F"/>
          <w:w w:val="95"/>
          <w:sz w:val="21"/>
        </w:rPr>
        <w:t>exceptionnel</w:t>
      </w:r>
      <w:r>
        <w:rPr>
          <w:rFonts w:ascii="Verdana" w:hAnsi="Verdana"/>
          <w:b/>
          <w:i/>
          <w:color w:val="181A1F"/>
          <w:spacing w:val="-42"/>
          <w:w w:val="95"/>
          <w:sz w:val="21"/>
        </w:rPr>
        <w:t> </w:t>
      </w:r>
      <w:r>
        <w:rPr>
          <w:rFonts w:ascii="Verdana" w:hAnsi="Verdana"/>
          <w:b/>
          <w:i/>
          <w:color w:val="181A1F"/>
          <w:w w:val="95"/>
          <w:sz w:val="21"/>
        </w:rPr>
        <w:t>au</w:t>
      </w:r>
      <w:r>
        <w:rPr>
          <w:rFonts w:ascii="Verdana" w:hAnsi="Verdana"/>
          <w:b/>
          <w:i/>
          <w:color w:val="181A1F"/>
          <w:spacing w:val="-42"/>
          <w:w w:val="95"/>
          <w:sz w:val="21"/>
        </w:rPr>
        <w:t> </w:t>
      </w:r>
      <w:r>
        <w:rPr>
          <w:rFonts w:ascii="Verdana" w:hAnsi="Verdana"/>
          <w:b/>
          <w:i/>
          <w:color w:val="181A1F"/>
          <w:w w:val="95"/>
          <w:sz w:val="21"/>
        </w:rPr>
        <w:t>titre</w:t>
      </w:r>
      <w:r>
        <w:rPr>
          <w:rFonts w:ascii="Verdana" w:hAnsi="Verdana"/>
          <w:b/>
          <w:i/>
          <w:color w:val="181A1F"/>
          <w:spacing w:val="-42"/>
          <w:w w:val="95"/>
          <w:sz w:val="21"/>
        </w:rPr>
        <w:t> </w:t>
      </w:r>
      <w:r>
        <w:rPr>
          <w:rFonts w:ascii="Verdana" w:hAnsi="Verdana"/>
          <w:b/>
          <w:i/>
          <w:color w:val="181A1F"/>
          <w:w w:val="95"/>
          <w:sz w:val="21"/>
        </w:rPr>
        <w:t>de</w:t>
      </w:r>
      <w:r>
        <w:rPr>
          <w:rFonts w:ascii="Verdana" w:hAnsi="Verdana"/>
          <w:b/>
          <w:i/>
          <w:color w:val="181A1F"/>
          <w:spacing w:val="-43"/>
          <w:w w:val="95"/>
          <w:sz w:val="21"/>
        </w:rPr>
        <w:t> </w:t>
      </w:r>
      <w:r>
        <w:rPr>
          <w:rFonts w:ascii="Verdana" w:hAnsi="Verdana"/>
          <w:b/>
          <w:i/>
          <w:color w:val="181A1F"/>
          <w:w w:val="95"/>
          <w:sz w:val="21"/>
        </w:rPr>
        <w:t>l’année</w:t>
      </w:r>
      <w:r>
        <w:rPr>
          <w:rFonts w:ascii="Verdana" w:hAnsi="Verdana"/>
          <w:b/>
          <w:i/>
          <w:color w:val="181A1F"/>
          <w:spacing w:val="-42"/>
          <w:w w:val="95"/>
          <w:sz w:val="21"/>
        </w:rPr>
        <w:t> </w:t>
      </w:r>
      <w:r>
        <w:rPr>
          <w:rFonts w:ascii="Verdana" w:hAnsi="Verdana"/>
          <w:b/>
          <w:i/>
          <w:color w:val="181A1F"/>
          <w:w w:val="95"/>
          <w:sz w:val="21"/>
        </w:rPr>
        <w:t>2022,</w:t>
      </w:r>
      <w:r>
        <w:rPr>
          <w:rFonts w:ascii="Verdana" w:hAnsi="Verdana"/>
          <w:b/>
          <w:i/>
          <w:color w:val="181A1F"/>
          <w:spacing w:val="-41"/>
          <w:w w:val="95"/>
          <w:sz w:val="21"/>
        </w:rPr>
        <w:t> </w:t>
      </w:r>
      <w:r>
        <w:rPr>
          <w:rFonts w:ascii="Verdana" w:hAnsi="Verdana"/>
          <w:b/>
          <w:i/>
          <w:color w:val="181A1F"/>
          <w:w w:val="95"/>
          <w:sz w:val="21"/>
        </w:rPr>
        <w:t>compte-tenu</w:t>
      </w:r>
      <w:r>
        <w:rPr>
          <w:rFonts w:ascii="Verdana" w:hAnsi="Verdana"/>
          <w:b/>
          <w:i/>
          <w:color w:val="181A1F"/>
          <w:spacing w:val="-41"/>
          <w:w w:val="95"/>
          <w:sz w:val="21"/>
        </w:rPr>
        <w:t> </w:t>
      </w:r>
      <w:r>
        <w:rPr>
          <w:rFonts w:ascii="Verdana" w:hAnsi="Verdana"/>
          <w:b/>
          <w:i/>
          <w:color w:val="181A1F"/>
          <w:w w:val="95"/>
          <w:sz w:val="21"/>
        </w:rPr>
        <w:t>de</w:t>
      </w:r>
      <w:r>
        <w:rPr>
          <w:rFonts w:ascii="Verdana" w:hAnsi="Verdana"/>
          <w:b/>
          <w:i/>
          <w:color w:val="181A1F"/>
          <w:spacing w:val="-42"/>
          <w:w w:val="95"/>
          <w:sz w:val="21"/>
        </w:rPr>
        <w:t> </w:t>
      </w:r>
      <w:r>
        <w:rPr>
          <w:rFonts w:ascii="Verdana" w:hAnsi="Verdana"/>
          <w:b/>
          <w:i/>
          <w:color w:val="181A1F"/>
          <w:w w:val="95"/>
          <w:sz w:val="21"/>
        </w:rPr>
        <w:t>la</w:t>
      </w:r>
      <w:r>
        <w:rPr>
          <w:rFonts w:ascii="Verdana" w:hAnsi="Verdana"/>
          <w:b/>
          <w:i/>
          <w:color w:val="181A1F"/>
          <w:spacing w:val="-41"/>
          <w:w w:val="95"/>
          <w:sz w:val="21"/>
        </w:rPr>
        <w:t> </w:t>
      </w:r>
      <w:r>
        <w:rPr>
          <w:rFonts w:ascii="Verdana" w:hAnsi="Verdana"/>
          <w:b/>
          <w:i/>
          <w:color w:val="181A1F"/>
          <w:w w:val="95"/>
          <w:sz w:val="21"/>
        </w:rPr>
        <w:t>date</w:t>
      </w:r>
      <w:r>
        <w:rPr>
          <w:rFonts w:ascii="Verdana" w:hAnsi="Verdana"/>
          <w:b/>
          <w:i/>
          <w:color w:val="181A1F"/>
          <w:spacing w:val="-42"/>
          <w:w w:val="95"/>
          <w:sz w:val="21"/>
        </w:rPr>
        <w:t> </w:t>
      </w:r>
      <w:r>
        <w:rPr>
          <w:rFonts w:ascii="Verdana" w:hAnsi="Verdana"/>
          <w:b/>
          <w:i/>
          <w:color w:val="181A1F"/>
          <w:w w:val="95"/>
          <w:sz w:val="21"/>
        </w:rPr>
        <w:t>de </w:t>
      </w:r>
      <w:r>
        <w:rPr>
          <w:rFonts w:ascii="Verdana" w:hAnsi="Verdana"/>
          <w:b/>
          <w:i/>
          <w:color w:val="181A1F"/>
          <w:w w:val="85"/>
          <w:sz w:val="21"/>
        </w:rPr>
        <w:t>publication</w:t>
      </w:r>
      <w:r>
        <w:rPr>
          <w:rFonts w:ascii="Verdana" w:hAnsi="Verdana"/>
          <w:b/>
          <w:i/>
          <w:color w:val="181A1F"/>
          <w:spacing w:val="-10"/>
          <w:w w:val="85"/>
          <w:sz w:val="21"/>
        </w:rPr>
        <w:t> </w:t>
      </w:r>
      <w:r>
        <w:rPr>
          <w:rFonts w:ascii="Verdana" w:hAnsi="Verdana"/>
          <w:b/>
          <w:i/>
          <w:color w:val="181A1F"/>
          <w:w w:val="85"/>
          <w:sz w:val="21"/>
        </w:rPr>
        <w:t>des</w:t>
      </w:r>
      <w:r>
        <w:rPr>
          <w:rFonts w:ascii="Verdana" w:hAnsi="Verdana"/>
          <w:b/>
          <w:i/>
          <w:color w:val="181A1F"/>
          <w:spacing w:val="-11"/>
          <w:w w:val="85"/>
          <w:sz w:val="21"/>
        </w:rPr>
        <w:t> </w:t>
      </w:r>
      <w:r>
        <w:rPr>
          <w:rFonts w:ascii="Verdana" w:hAnsi="Verdana"/>
          <w:b/>
          <w:i/>
          <w:color w:val="181A1F"/>
          <w:w w:val="85"/>
          <w:sz w:val="21"/>
        </w:rPr>
        <w:t>nouvelles</w:t>
      </w:r>
      <w:r>
        <w:rPr>
          <w:rFonts w:ascii="Verdana" w:hAnsi="Verdana"/>
          <w:b/>
          <w:i/>
          <w:color w:val="181A1F"/>
          <w:spacing w:val="-9"/>
          <w:w w:val="85"/>
          <w:sz w:val="21"/>
        </w:rPr>
        <w:t> </w:t>
      </w:r>
      <w:r>
        <w:rPr>
          <w:rFonts w:ascii="Verdana" w:hAnsi="Verdana"/>
          <w:b/>
          <w:i/>
          <w:color w:val="181A1F"/>
          <w:w w:val="85"/>
          <w:sz w:val="21"/>
        </w:rPr>
        <w:t>dispositions</w:t>
      </w:r>
      <w:r>
        <w:rPr>
          <w:rFonts w:ascii="Verdana" w:hAnsi="Verdana"/>
          <w:b/>
          <w:i/>
          <w:color w:val="181A1F"/>
          <w:spacing w:val="-9"/>
          <w:w w:val="85"/>
          <w:sz w:val="21"/>
        </w:rPr>
        <w:t> </w:t>
      </w:r>
      <w:r>
        <w:rPr>
          <w:rFonts w:ascii="Verdana" w:hAnsi="Verdana"/>
          <w:b/>
          <w:i/>
          <w:color w:val="181A1F"/>
          <w:w w:val="85"/>
          <w:sz w:val="21"/>
        </w:rPr>
        <w:t>réglementaires,</w:t>
      </w:r>
      <w:r>
        <w:rPr>
          <w:rFonts w:ascii="Verdana" w:hAnsi="Verdana"/>
          <w:b/>
          <w:i/>
          <w:color w:val="181A1F"/>
          <w:spacing w:val="-10"/>
          <w:w w:val="85"/>
          <w:sz w:val="21"/>
        </w:rPr>
        <w:t> </w:t>
      </w:r>
      <w:r>
        <w:rPr>
          <w:rFonts w:ascii="Verdana" w:hAnsi="Verdana"/>
          <w:b/>
          <w:i/>
          <w:color w:val="181A1F"/>
          <w:w w:val="85"/>
          <w:sz w:val="21"/>
        </w:rPr>
        <w:t>la</w:t>
      </w:r>
      <w:r>
        <w:rPr>
          <w:rFonts w:ascii="Verdana" w:hAnsi="Verdana"/>
          <w:b/>
          <w:i/>
          <w:color w:val="181A1F"/>
          <w:spacing w:val="-8"/>
          <w:w w:val="85"/>
          <w:sz w:val="21"/>
        </w:rPr>
        <w:t> </w:t>
      </w:r>
      <w:r>
        <w:rPr>
          <w:rFonts w:ascii="Verdana" w:hAnsi="Verdana"/>
          <w:b/>
          <w:i/>
          <w:color w:val="181A1F"/>
          <w:w w:val="85"/>
          <w:sz w:val="21"/>
        </w:rPr>
        <w:t>DGAFP</w:t>
      </w:r>
      <w:r>
        <w:rPr>
          <w:rFonts w:ascii="Verdana" w:hAnsi="Verdana"/>
          <w:b/>
          <w:i/>
          <w:color w:val="181A1F"/>
          <w:spacing w:val="-10"/>
          <w:w w:val="85"/>
          <w:sz w:val="21"/>
        </w:rPr>
        <w:t> </w:t>
      </w:r>
      <w:r>
        <w:rPr>
          <w:rFonts w:ascii="Verdana" w:hAnsi="Verdana"/>
          <w:b/>
          <w:i/>
          <w:color w:val="181A1F"/>
          <w:w w:val="85"/>
          <w:sz w:val="21"/>
        </w:rPr>
        <w:t>préconise</w:t>
      </w:r>
      <w:r>
        <w:rPr>
          <w:rFonts w:ascii="Verdana" w:hAnsi="Verdana"/>
          <w:b/>
          <w:i/>
          <w:color w:val="181A1F"/>
          <w:spacing w:val="-11"/>
          <w:w w:val="85"/>
          <w:sz w:val="21"/>
        </w:rPr>
        <w:t> </w:t>
      </w:r>
      <w:r>
        <w:rPr>
          <w:rFonts w:ascii="Verdana" w:hAnsi="Verdana"/>
          <w:b/>
          <w:i/>
          <w:color w:val="181A1F"/>
          <w:w w:val="85"/>
          <w:sz w:val="21"/>
        </w:rPr>
        <w:t>d’admettre</w:t>
      </w:r>
      <w:r>
        <w:rPr>
          <w:rFonts w:ascii="Verdana" w:hAnsi="Verdana"/>
          <w:b/>
          <w:i/>
          <w:color w:val="181A1F"/>
          <w:spacing w:val="-12"/>
          <w:w w:val="85"/>
          <w:sz w:val="21"/>
        </w:rPr>
        <w:t> </w:t>
      </w:r>
      <w:r>
        <w:rPr>
          <w:rFonts w:ascii="Verdana" w:hAnsi="Verdana"/>
          <w:b/>
          <w:i/>
          <w:color w:val="181A1F"/>
          <w:w w:val="85"/>
          <w:sz w:val="21"/>
        </w:rPr>
        <w:t>le </w:t>
      </w:r>
      <w:r>
        <w:rPr>
          <w:rFonts w:ascii="Verdana" w:hAnsi="Verdana"/>
          <w:b/>
          <w:i/>
          <w:color w:val="181A1F"/>
          <w:w w:val="90"/>
          <w:sz w:val="21"/>
        </w:rPr>
        <w:t>dépôt</w:t>
      </w:r>
      <w:r>
        <w:rPr>
          <w:rFonts w:ascii="Verdana" w:hAnsi="Verdana"/>
          <w:b/>
          <w:i/>
          <w:color w:val="181A1F"/>
          <w:spacing w:val="-43"/>
          <w:w w:val="90"/>
          <w:sz w:val="21"/>
        </w:rPr>
        <w:t> </w:t>
      </w:r>
      <w:r>
        <w:rPr>
          <w:rFonts w:ascii="Verdana" w:hAnsi="Verdana"/>
          <w:b/>
          <w:i/>
          <w:color w:val="181A1F"/>
          <w:w w:val="90"/>
          <w:sz w:val="21"/>
        </w:rPr>
        <w:t>de</w:t>
      </w:r>
      <w:r>
        <w:rPr>
          <w:rFonts w:ascii="Verdana" w:hAnsi="Verdana"/>
          <w:b/>
          <w:i/>
          <w:color w:val="181A1F"/>
          <w:spacing w:val="-43"/>
          <w:w w:val="90"/>
          <w:sz w:val="21"/>
        </w:rPr>
        <w:t> </w:t>
      </w:r>
      <w:r>
        <w:rPr>
          <w:rFonts w:ascii="Verdana" w:hAnsi="Verdana"/>
          <w:b/>
          <w:i/>
          <w:color w:val="181A1F"/>
          <w:w w:val="90"/>
          <w:sz w:val="21"/>
        </w:rPr>
        <w:t>déclarations</w:t>
      </w:r>
      <w:r>
        <w:rPr>
          <w:rFonts w:ascii="Verdana" w:hAnsi="Verdana"/>
          <w:b/>
          <w:i/>
          <w:color w:val="181A1F"/>
          <w:spacing w:val="-43"/>
          <w:w w:val="90"/>
          <w:sz w:val="21"/>
        </w:rPr>
        <w:t> </w:t>
      </w:r>
      <w:r>
        <w:rPr>
          <w:rFonts w:ascii="Verdana" w:hAnsi="Verdana"/>
          <w:b/>
          <w:i/>
          <w:color w:val="181A1F"/>
          <w:w w:val="90"/>
          <w:sz w:val="21"/>
        </w:rPr>
        <w:t>sur</w:t>
      </w:r>
      <w:r>
        <w:rPr>
          <w:rFonts w:ascii="Verdana" w:hAnsi="Verdana"/>
          <w:b/>
          <w:i/>
          <w:color w:val="181A1F"/>
          <w:spacing w:val="-42"/>
          <w:w w:val="90"/>
          <w:sz w:val="21"/>
        </w:rPr>
        <w:t> </w:t>
      </w:r>
      <w:r>
        <w:rPr>
          <w:rFonts w:ascii="Verdana" w:hAnsi="Verdana"/>
          <w:b/>
          <w:i/>
          <w:color w:val="181A1F"/>
          <w:w w:val="90"/>
          <w:sz w:val="21"/>
        </w:rPr>
        <w:t>l’honneur</w:t>
      </w:r>
      <w:r>
        <w:rPr>
          <w:rFonts w:ascii="Verdana" w:hAnsi="Verdana"/>
          <w:b/>
          <w:i/>
          <w:color w:val="181A1F"/>
          <w:spacing w:val="-42"/>
          <w:w w:val="90"/>
          <w:sz w:val="21"/>
        </w:rPr>
        <w:t> </w:t>
      </w:r>
      <w:r>
        <w:rPr>
          <w:rFonts w:ascii="Verdana" w:hAnsi="Verdana"/>
          <w:b/>
          <w:i/>
          <w:color w:val="181A1F"/>
          <w:w w:val="90"/>
          <w:sz w:val="21"/>
        </w:rPr>
        <w:t>par</w:t>
      </w:r>
      <w:r>
        <w:rPr>
          <w:rFonts w:ascii="Verdana" w:hAnsi="Verdana"/>
          <w:b/>
          <w:i/>
          <w:color w:val="181A1F"/>
          <w:spacing w:val="-42"/>
          <w:w w:val="90"/>
          <w:sz w:val="21"/>
        </w:rPr>
        <w:t> </w:t>
      </w:r>
      <w:r>
        <w:rPr>
          <w:rFonts w:ascii="Verdana" w:hAnsi="Verdana"/>
          <w:b/>
          <w:i/>
          <w:color w:val="181A1F"/>
          <w:w w:val="90"/>
          <w:sz w:val="21"/>
        </w:rPr>
        <w:t>les</w:t>
      </w:r>
      <w:r>
        <w:rPr>
          <w:rFonts w:ascii="Verdana" w:hAnsi="Verdana"/>
          <w:b/>
          <w:i/>
          <w:color w:val="181A1F"/>
          <w:spacing w:val="-42"/>
          <w:w w:val="90"/>
          <w:sz w:val="21"/>
        </w:rPr>
        <w:t> </w:t>
      </w:r>
      <w:r>
        <w:rPr>
          <w:rFonts w:ascii="Verdana" w:hAnsi="Verdana"/>
          <w:b/>
          <w:i/>
          <w:color w:val="181A1F"/>
          <w:w w:val="90"/>
          <w:sz w:val="21"/>
        </w:rPr>
        <w:t>agents</w:t>
      </w:r>
      <w:r>
        <w:rPr>
          <w:rFonts w:ascii="Verdana" w:hAnsi="Verdana"/>
          <w:b/>
          <w:i/>
          <w:color w:val="181A1F"/>
          <w:spacing w:val="-42"/>
          <w:w w:val="90"/>
          <w:sz w:val="21"/>
        </w:rPr>
        <w:t> </w:t>
      </w:r>
      <w:r>
        <w:rPr>
          <w:rFonts w:ascii="Verdana" w:hAnsi="Verdana"/>
          <w:b/>
          <w:i/>
          <w:color w:val="181A1F"/>
          <w:w w:val="90"/>
          <w:sz w:val="21"/>
        </w:rPr>
        <w:t>après</w:t>
      </w:r>
      <w:r>
        <w:rPr>
          <w:rFonts w:ascii="Verdana" w:hAnsi="Verdana"/>
          <w:b/>
          <w:i/>
          <w:color w:val="181A1F"/>
          <w:spacing w:val="-43"/>
          <w:w w:val="90"/>
          <w:sz w:val="21"/>
        </w:rPr>
        <w:t> </w:t>
      </w:r>
      <w:r>
        <w:rPr>
          <w:rFonts w:ascii="Verdana" w:hAnsi="Verdana"/>
          <w:b/>
          <w:i/>
          <w:color w:val="181A1F"/>
          <w:w w:val="90"/>
          <w:sz w:val="21"/>
        </w:rPr>
        <w:t>le</w:t>
      </w:r>
      <w:r>
        <w:rPr>
          <w:rFonts w:ascii="Verdana" w:hAnsi="Verdana"/>
          <w:b/>
          <w:i/>
          <w:color w:val="181A1F"/>
          <w:spacing w:val="-43"/>
          <w:w w:val="90"/>
          <w:sz w:val="21"/>
        </w:rPr>
        <w:t> </w:t>
      </w:r>
      <w:r>
        <w:rPr>
          <w:rFonts w:ascii="Verdana" w:hAnsi="Verdana"/>
          <w:b/>
          <w:i/>
          <w:color w:val="181A1F"/>
          <w:w w:val="90"/>
          <w:sz w:val="21"/>
        </w:rPr>
        <w:t>31</w:t>
      </w:r>
      <w:r>
        <w:rPr>
          <w:rFonts w:ascii="Verdana" w:hAnsi="Verdana"/>
          <w:b/>
          <w:i/>
          <w:color w:val="181A1F"/>
          <w:spacing w:val="-43"/>
          <w:w w:val="90"/>
          <w:sz w:val="21"/>
        </w:rPr>
        <w:t> </w:t>
      </w:r>
      <w:r>
        <w:rPr>
          <w:rFonts w:ascii="Verdana" w:hAnsi="Verdana"/>
          <w:b/>
          <w:i/>
          <w:color w:val="181A1F"/>
          <w:w w:val="90"/>
          <w:sz w:val="21"/>
        </w:rPr>
        <w:t>décembre</w:t>
      </w:r>
      <w:r>
        <w:rPr>
          <w:rFonts w:ascii="Verdana" w:hAnsi="Verdana"/>
          <w:b/>
          <w:i/>
          <w:color w:val="181A1F"/>
          <w:spacing w:val="-43"/>
          <w:w w:val="90"/>
          <w:sz w:val="21"/>
        </w:rPr>
        <w:t> </w:t>
      </w:r>
      <w:r>
        <w:rPr>
          <w:rFonts w:ascii="Verdana" w:hAnsi="Verdana"/>
          <w:b/>
          <w:i/>
          <w:color w:val="181A1F"/>
          <w:w w:val="90"/>
          <w:sz w:val="21"/>
        </w:rPr>
        <w:t>2022,</w:t>
      </w:r>
      <w:r>
        <w:rPr>
          <w:rFonts w:ascii="Verdana" w:hAnsi="Verdana"/>
          <w:b/>
          <w:i/>
          <w:color w:val="181A1F"/>
          <w:spacing w:val="-42"/>
          <w:w w:val="90"/>
          <w:sz w:val="21"/>
        </w:rPr>
        <w:t> </w:t>
      </w:r>
      <w:r>
        <w:rPr>
          <w:rFonts w:ascii="Verdana" w:hAnsi="Verdana"/>
          <w:b/>
          <w:i/>
          <w:color w:val="181A1F"/>
          <w:w w:val="90"/>
          <w:sz w:val="21"/>
        </w:rPr>
        <w:t>sans</w:t>
      </w:r>
      <w:r>
        <w:rPr>
          <w:rFonts w:ascii="Verdana" w:hAnsi="Verdana"/>
          <w:b/>
          <w:i/>
          <w:color w:val="181A1F"/>
          <w:spacing w:val="-43"/>
          <w:w w:val="90"/>
          <w:sz w:val="21"/>
        </w:rPr>
        <w:t> </w:t>
      </w:r>
      <w:r>
        <w:rPr>
          <w:rFonts w:ascii="Verdana" w:hAnsi="Verdana"/>
          <w:b/>
          <w:i/>
          <w:color w:val="181A1F"/>
          <w:w w:val="90"/>
          <w:sz w:val="21"/>
        </w:rPr>
        <w:t>que </w:t>
      </w:r>
      <w:r>
        <w:rPr>
          <w:rFonts w:ascii="Verdana" w:hAnsi="Verdana"/>
          <w:b/>
          <w:i/>
          <w:color w:val="181A1F"/>
          <w:w w:val="95"/>
          <w:sz w:val="21"/>
        </w:rPr>
        <w:t>cela</w:t>
      </w:r>
      <w:r>
        <w:rPr>
          <w:rFonts w:ascii="Verdana" w:hAnsi="Verdana"/>
          <w:b/>
          <w:i/>
          <w:color w:val="181A1F"/>
          <w:spacing w:val="-35"/>
          <w:w w:val="95"/>
          <w:sz w:val="21"/>
        </w:rPr>
        <w:t> </w:t>
      </w:r>
      <w:r>
        <w:rPr>
          <w:rFonts w:ascii="Verdana" w:hAnsi="Verdana"/>
          <w:b/>
          <w:i/>
          <w:color w:val="181A1F"/>
          <w:w w:val="95"/>
          <w:sz w:val="21"/>
        </w:rPr>
        <w:t>ne</w:t>
      </w:r>
      <w:r>
        <w:rPr>
          <w:rFonts w:ascii="Verdana" w:hAnsi="Verdana"/>
          <w:b/>
          <w:i/>
          <w:color w:val="181A1F"/>
          <w:spacing w:val="-37"/>
          <w:w w:val="95"/>
          <w:sz w:val="21"/>
        </w:rPr>
        <w:t> </w:t>
      </w:r>
      <w:r>
        <w:rPr>
          <w:rFonts w:ascii="Verdana" w:hAnsi="Verdana"/>
          <w:b/>
          <w:i/>
          <w:color w:val="181A1F"/>
          <w:w w:val="95"/>
          <w:sz w:val="21"/>
        </w:rPr>
        <w:t>donne</w:t>
      </w:r>
      <w:r>
        <w:rPr>
          <w:rFonts w:ascii="Verdana" w:hAnsi="Verdana"/>
          <w:b/>
          <w:i/>
          <w:color w:val="181A1F"/>
          <w:spacing w:val="-35"/>
          <w:w w:val="95"/>
          <w:sz w:val="21"/>
        </w:rPr>
        <w:t> </w:t>
      </w:r>
      <w:r>
        <w:rPr>
          <w:rFonts w:ascii="Verdana" w:hAnsi="Verdana"/>
          <w:b/>
          <w:i/>
          <w:color w:val="181A1F"/>
          <w:w w:val="95"/>
          <w:sz w:val="21"/>
        </w:rPr>
        <w:t>lieu</w:t>
      </w:r>
      <w:r>
        <w:rPr>
          <w:rFonts w:ascii="Verdana" w:hAnsi="Verdana"/>
          <w:b/>
          <w:i/>
          <w:color w:val="181A1F"/>
          <w:spacing w:val="-36"/>
          <w:w w:val="95"/>
          <w:sz w:val="21"/>
        </w:rPr>
        <w:t> </w:t>
      </w:r>
      <w:r>
        <w:rPr>
          <w:rFonts w:ascii="Verdana" w:hAnsi="Verdana"/>
          <w:b/>
          <w:i/>
          <w:color w:val="181A1F"/>
          <w:w w:val="95"/>
          <w:sz w:val="21"/>
        </w:rPr>
        <w:t>à</w:t>
      </w:r>
      <w:r>
        <w:rPr>
          <w:rFonts w:ascii="Verdana" w:hAnsi="Verdana"/>
          <w:b/>
          <w:i/>
          <w:color w:val="181A1F"/>
          <w:spacing w:val="-35"/>
          <w:w w:val="95"/>
          <w:sz w:val="21"/>
        </w:rPr>
        <w:t> </w:t>
      </w:r>
      <w:r>
        <w:rPr>
          <w:rFonts w:ascii="Verdana" w:hAnsi="Verdana"/>
          <w:b/>
          <w:i/>
          <w:color w:val="181A1F"/>
          <w:w w:val="95"/>
          <w:sz w:val="21"/>
        </w:rPr>
        <w:t>un</w:t>
      </w:r>
      <w:r>
        <w:rPr>
          <w:rFonts w:ascii="Verdana" w:hAnsi="Verdana"/>
          <w:b/>
          <w:i/>
          <w:color w:val="181A1F"/>
          <w:spacing w:val="-35"/>
          <w:w w:val="95"/>
          <w:sz w:val="21"/>
        </w:rPr>
        <w:t> </w:t>
      </w:r>
      <w:r>
        <w:rPr>
          <w:rFonts w:ascii="Verdana" w:hAnsi="Verdana"/>
          <w:b/>
          <w:i/>
          <w:color w:val="181A1F"/>
          <w:w w:val="95"/>
          <w:sz w:val="21"/>
        </w:rPr>
        <w:t>décalage</w:t>
      </w:r>
      <w:r>
        <w:rPr>
          <w:rFonts w:ascii="Verdana" w:hAnsi="Verdana"/>
          <w:b/>
          <w:i/>
          <w:color w:val="181A1F"/>
          <w:spacing w:val="-35"/>
          <w:w w:val="95"/>
          <w:sz w:val="21"/>
        </w:rPr>
        <w:t> </w:t>
      </w:r>
      <w:r>
        <w:rPr>
          <w:rFonts w:ascii="Verdana" w:hAnsi="Verdana"/>
          <w:b/>
          <w:i/>
          <w:color w:val="181A1F"/>
          <w:w w:val="95"/>
          <w:sz w:val="21"/>
        </w:rPr>
        <w:t>excessif</w:t>
      </w:r>
      <w:r>
        <w:rPr>
          <w:rFonts w:ascii="Verdana" w:hAnsi="Verdana"/>
          <w:b/>
          <w:i/>
          <w:color w:val="181A1F"/>
          <w:spacing w:val="-35"/>
          <w:w w:val="95"/>
          <w:sz w:val="21"/>
        </w:rPr>
        <w:t> </w:t>
      </w:r>
      <w:r>
        <w:rPr>
          <w:rFonts w:ascii="Verdana" w:hAnsi="Verdana"/>
          <w:b/>
          <w:i/>
          <w:color w:val="181A1F"/>
          <w:w w:val="95"/>
          <w:sz w:val="21"/>
        </w:rPr>
        <w:t>des</w:t>
      </w:r>
      <w:r>
        <w:rPr>
          <w:rFonts w:ascii="Verdana" w:hAnsi="Verdana"/>
          <w:b/>
          <w:i/>
          <w:color w:val="181A1F"/>
          <w:spacing w:val="-34"/>
          <w:w w:val="95"/>
          <w:sz w:val="21"/>
        </w:rPr>
        <w:t> </w:t>
      </w:r>
      <w:r>
        <w:rPr>
          <w:rFonts w:ascii="Verdana" w:hAnsi="Verdana"/>
          <w:b/>
          <w:i/>
          <w:color w:val="181A1F"/>
          <w:w w:val="95"/>
          <w:sz w:val="21"/>
        </w:rPr>
        <w:t>dates</w:t>
      </w:r>
      <w:r>
        <w:rPr>
          <w:rFonts w:ascii="Verdana" w:hAnsi="Verdana"/>
          <w:b/>
          <w:i/>
          <w:color w:val="181A1F"/>
          <w:spacing w:val="-35"/>
          <w:w w:val="95"/>
          <w:sz w:val="21"/>
        </w:rPr>
        <w:t> </w:t>
      </w:r>
      <w:r>
        <w:rPr>
          <w:rFonts w:ascii="Verdana" w:hAnsi="Verdana"/>
          <w:b/>
          <w:i/>
          <w:color w:val="181A1F"/>
          <w:w w:val="95"/>
          <w:sz w:val="21"/>
        </w:rPr>
        <w:t>de</w:t>
      </w:r>
      <w:r>
        <w:rPr>
          <w:rFonts w:ascii="Verdana" w:hAnsi="Verdana"/>
          <w:b/>
          <w:i/>
          <w:color w:val="181A1F"/>
          <w:spacing w:val="-35"/>
          <w:w w:val="95"/>
          <w:sz w:val="21"/>
        </w:rPr>
        <w:t> </w:t>
      </w:r>
      <w:r>
        <w:rPr>
          <w:rFonts w:ascii="Verdana" w:hAnsi="Verdana"/>
          <w:b/>
          <w:i/>
          <w:color w:val="181A1F"/>
          <w:w w:val="95"/>
          <w:sz w:val="21"/>
        </w:rPr>
        <w:t>versement</w:t>
      </w:r>
      <w:r>
        <w:rPr>
          <w:rFonts w:ascii="Verdana" w:hAnsi="Verdana"/>
          <w:b/>
          <w:i/>
          <w:color w:val="181A1F"/>
          <w:spacing w:val="-36"/>
          <w:w w:val="95"/>
          <w:sz w:val="21"/>
        </w:rPr>
        <w:t> </w:t>
      </w:r>
      <w:r>
        <w:rPr>
          <w:rFonts w:ascii="Verdana" w:hAnsi="Verdana"/>
          <w:b/>
          <w:i/>
          <w:color w:val="181A1F"/>
          <w:w w:val="95"/>
          <w:sz w:val="21"/>
        </w:rPr>
        <w:t>du</w:t>
      </w:r>
      <w:r>
        <w:rPr>
          <w:rFonts w:ascii="Verdana" w:hAnsi="Verdana"/>
          <w:b/>
          <w:i/>
          <w:color w:val="181A1F"/>
          <w:spacing w:val="-35"/>
          <w:w w:val="95"/>
          <w:sz w:val="21"/>
        </w:rPr>
        <w:t> </w:t>
      </w:r>
      <w:r>
        <w:rPr>
          <w:rFonts w:ascii="Verdana" w:hAnsi="Verdana"/>
          <w:b/>
          <w:i/>
          <w:color w:val="181A1F"/>
          <w:w w:val="95"/>
          <w:sz w:val="21"/>
        </w:rPr>
        <w:t>forfait.</w:t>
      </w:r>
    </w:p>
    <w:p>
      <w:pPr>
        <w:spacing w:before="201"/>
        <w:ind w:left="-30" w:right="669" w:firstLine="0"/>
        <w:jc w:val="left"/>
        <w:rPr>
          <w:rFonts w:ascii="Tahoma" w:hAnsi="Tahoma"/>
          <w:sz w:val="24"/>
        </w:rPr>
      </w:pPr>
      <w:r>
        <w:rPr>
          <w:rFonts w:ascii="Tahoma" w:hAnsi="Tahoma"/>
          <w:color w:val="181A1F"/>
          <w:sz w:val="24"/>
        </w:rPr>
        <w:t>La déclaration certifie l’utilisation de l'un des moyens de transport éligibles ainsi que du nombre de jours de déplacements réalisés à l'aide de ces moyens de transport.</w:t>
      </w:r>
    </w:p>
    <w:p>
      <w:pPr>
        <w:spacing w:before="204"/>
        <w:ind w:left="-30" w:right="692" w:firstLine="0"/>
        <w:jc w:val="left"/>
        <w:rPr>
          <w:rFonts w:ascii="Tahoma" w:hAnsi="Tahoma"/>
          <w:sz w:val="24"/>
        </w:rPr>
      </w:pPr>
      <w:r>
        <w:rPr>
          <w:rFonts w:ascii="Tahoma" w:hAnsi="Tahoma"/>
          <w:color w:val="181A1F"/>
          <w:sz w:val="24"/>
        </w:rPr>
        <w:t>Le forfait est versé par l'employeur l'année suivante celle du dépôt de la déclaration en une seule fraction.</w:t>
      </w:r>
    </w:p>
    <w:p>
      <w:pPr>
        <w:pStyle w:val="ListParagraph"/>
        <w:numPr>
          <w:ilvl w:val="0"/>
          <w:numId w:val="6"/>
        </w:numPr>
        <w:tabs>
          <w:tab w:pos="177" w:val="left" w:leader="none"/>
        </w:tabs>
        <w:spacing w:line="240" w:lineRule="auto" w:before="203" w:after="0"/>
        <w:ind w:left="176" w:right="0" w:hanging="207"/>
        <w:jc w:val="left"/>
        <w:rPr>
          <w:rFonts w:ascii="Tahoma" w:hAnsi="Tahoma"/>
          <w:sz w:val="24"/>
        </w:rPr>
      </w:pPr>
      <w:r>
        <w:rPr>
          <w:rFonts w:ascii="Tahoma" w:hAnsi="Tahoma"/>
          <w:color w:val="181A1F"/>
          <w:sz w:val="24"/>
          <w:u w:val="single" w:color="181A1F"/>
        </w:rPr>
        <w:t>En cas de pluralité d'employeurs</w:t>
      </w:r>
      <w:r>
        <w:rPr>
          <w:rFonts w:ascii="Tahoma" w:hAnsi="Tahoma"/>
          <w:color w:val="181A1F"/>
          <w:spacing w:val="-4"/>
          <w:sz w:val="24"/>
        </w:rPr>
        <w:t> </w:t>
      </w:r>
      <w:r>
        <w:rPr>
          <w:rFonts w:ascii="Tahoma" w:hAnsi="Tahoma"/>
          <w:color w:val="181A1F"/>
          <w:sz w:val="24"/>
        </w:rPr>
        <w:t>:</w:t>
      </w:r>
    </w:p>
    <w:p>
      <w:pPr>
        <w:spacing w:before="202"/>
        <w:ind w:left="-30" w:right="472" w:firstLine="0"/>
        <w:jc w:val="left"/>
        <w:rPr>
          <w:rFonts w:ascii="Tahoma" w:hAnsi="Tahoma"/>
          <w:sz w:val="24"/>
        </w:rPr>
      </w:pPr>
      <w:r>
        <w:rPr>
          <w:rFonts w:ascii="Tahoma" w:hAnsi="Tahoma"/>
          <w:color w:val="181A1F"/>
          <w:sz w:val="24"/>
        </w:rPr>
        <w:t>L'agent dépose une déclaration sur l'honneur auprès de chacun de ses employeurs au plus tard le 31 décembre de l'année de référence.</w:t>
      </w:r>
    </w:p>
    <w:p>
      <w:pPr>
        <w:spacing w:before="102"/>
        <w:ind w:left="-30" w:right="488" w:firstLine="0"/>
        <w:jc w:val="left"/>
        <w:rPr>
          <w:rFonts w:ascii="Tahoma" w:hAnsi="Tahoma"/>
          <w:sz w:val="24"/>
        </w:rPr>
      </w:pPr>
      <w:r>
        <w:rPr>
          <w:rFonts w:ascii="Tahoma" w:hAnsi="Tahoma"/>
          <w:sz w:val="24"/>
        </w:rPr>
        <w:t>Le forfait est versé par chacun des employeurs selon un montant déterminé en prenant en compte le total cumulé des heures travaillées. La prise en charge du forfait de chacun des employeurs est calculée au prorata du temps travaillé auprès </w:t>
      </w:r>
      <w:r>
        <w:rPr>
          <w:rFonts w:ascii="Tahoma" w:hAnsi="Tahoma"/>
          <w:spacing w:val="-6"/>
          <w:sz w:val="24"/>
        </w:rPr>
        <w:t>de </w:t>
      </w:r>
      <w:r>
        <w:rPr>
          <w:rFonts w:ascii="Tahoma" w:hAnsi="Tahoma"/>
          <w:sz w:val="24"/>
        </w:rPr>
        <w:t>chaque employeur.</w:t>
      </w:r>
    </w:p>
    <w:p>
      <w:pPr>
        <w:pStyle w:val="ListParagraph"/>
        <w:numPr>
          <w:ilvl w:val="0"/>
          <w:numId w:val="6"/>
        </w:numPr>
        <w:tabs>
          <w:tab w:pos="177" w:val="left" w:leader="none"/>
        </w:tabs>
        <w:spacing w:line="240" w:lineRule="auto" w:before="104" w:after="0"/>
        <w:ind w:left="176" w:right="0" w:hanging="207"/>
        <w:jc w:val="left"/>
        <w:rPr>
          <w:rFonts w:ascii="Tahoma" w:hAnsi="Tahoma"/>
          <w:sz w:val="24"/>
        </w:rPr>
      </w:pPr>
      <w:r>
        <w:rPr>
          <w:rFonts w:ascii="Tahoma" w:hAnsi="Tahoma"/>
          <w:color w:val="181A1F"/>
          <w:sz w:val="24"/>
          <w:u w:val="single" w:color="181A1F"/>
        </w:rPr>
        <w:t>En cas de mobilité au cours de l'année de référence</w:t>
      </w:r>
      <w:r>
        <w:rPr>
          <w:rFonts w:ascii="Tahoma" w:hAnsi="Tahoma"/>
          <w:color w:val="181A1F"/>
          <w:spacing w:val="-6"/>
          <w:sz w:val="24"/>
        </w:rPr>
        <w:t> </w:t>
      </w:r>
      <w:r>
        <w:rPr>
          <w:rFonts w:ascii="Tahoma" w:hAnsi="Tahoma"/>
          <w:color w:val="181A1F"/>
          <w:sz w:val="24"/>
        </w:rPr>
        <w:t>:</w:t>
      </w:r>
    </w:p>
    <w:p>
      <w:pPr>
        <w:spacing w:before="202"/>
        <w:ind w:left="-30" w:right="787" w:firstLine="0"/>
        <w:jc w:val="left"/>
        <w:rPr>
          <w:rFonts w:ascii="Tahoma" w:hAnsi="Tahoma"/>
          <w:sz w:val="24"/>
        </w:rPr>
      </w:pPr>
      <w:r>
        <w:rPr>
          <w:rFonts w:ascii="Tahoma" w:hAnsi="Tahoma"/>
          <w:color w:val="181A1F"/>
          <w:sz w:val="24"/>
        </w:rPr>
        <w:t>Lorsque l’agent a changé d’employeur au cours de l’année, il dépose sa</w:t>
      </w:r>
      <w:r>
        <w:rPr>
          <w:rFonts w:ascii="Tahoma" w:hAnsi="Tahoma"/>
          <w:color w:val="181A1F"/>
          <w:spacing w:val="-22"/>
          <w:sz w:val="24"/>
        </w:rPr>
        <w:t> </w:t>
      </w:r>
      <w:r>
        <w:rPr>
          <w:rFonts w:ascii="Tahoma" w:hAnsi="Tahoma"/>
          <w:color w:val="181A1F"/>
          <w:sz w:val="24"/>
        </w:rPr>
        <w:t>déclaration auprès de son dernier employeur au plus tard le 31 décembre de l’année de référence. Cette déclaration atteste de l’ensemble des déplacements réalisés par l’agent au cours de l’année auprès d’employeurs éligibles au</w:t>
      </w:r>
      <w:r>
        <w:rPr>
          <w:rFonts w:ascii="Tahoma" w:hAnsi="Tahoma"/>
          <w:color w:val="181A1F"/>
          <w:spacing w:val="3"/>
          <w:sz w:val="24"/>
        </w:rPr>
        <w:t> </w:t>
      </w:r>
      <w:r>
        <w:rPr>
          <w:rFonts w:ascii="Tahoma" w:hAnsi="Tahoma"/>
          <w:color w:val="181A1F"/>
          <w:sz w:val="24"/>
        </w:rPr>
        <w:t>forfait.</w:t>
      </w:r>
    </w:p>
    <w:p>
      <w:pPr>
        <w:spacing w:before="204"/>
        <w:ind w:left="-30" w:right="575" w:firstLine="0"/>
        <w:jc w:val="left"/>
        <w:rPr>
          <w:rFonts w:ascii="Tahoma" w:hAnsi="Tahoma"/>
          <w:sz w:val="24"/>
        </w:rPr>
      </w:pPr>
      <w:r>
        <w:rPr>
          <w:rFonts w:ascii="Tahoma" w:hAnsi="Tahoma"/>
          <w:color w:val="181A1F"/>
          <w:sz w:val="24"/>
        </w:rPr>
        <w:t>Le forfait est versé par le dernier employeur de l’agent et son montant est</w:t>
      </w:r>
      <w:r>
        <w:rPr>
          <w:rFonts w:ascii="Tahoma" w:hAnsi="Tahoma"/>
          <w:color w:val="181A1F"/>
          <w:spacing w:val="-13"/>
          <w:sz w:val="24"/>
        </w:rPr>
        <w:t> </w:t>
      </w:r>
      <w:r>
        <w:rPr>
          <w:rFonts w:ascii="Tahoma" w:hAnsi="Tahoma"/>
          <w:color w:val="181A1F"/>
          <w:sz w:val="24"/>
        </w:rPr>
        <w:t>déterminé en prenant en compte l’ensemble des déplacements réalisés par l’agent au cours de l’année. Le ou les autres employeurs de l’agent au cours de l’année de référence transmettent, le cas échéant, au dernier employeur de l’agent, les justificatifs attestant du recours effectif à l’un des modes de transport</w:t>
      </w:r>
      <w:r>
        <w:rPr>
          <w:rFonts w:ascii="Tahoma" w:hAnsi="Tahoma"/>
          <w:color w:val="181A1F"/>
          <w:spacing w:val="-7"/>
          <w:sz w:val="24"/>
        </w:rPr>
        <w:t> </w:t>
      </w:r>
      <w:r>
        <w:rPr>
          <w:rFonts w:ascii="Tahoma" w:hAnsi="Tahoma"/>
          <w:color w:val="181A1F"/>
          <w:sz w:val="24"/>
        </w:rPr>
        <w:t>éligibles.</w:t>
      </w:r>
    </w:p>
    <w:p>
      <w:pPr>
        <w:spacing w:after="0"/>
        <w:jc w:val="left"/>
        <w:rPr>
          <w:rFonts w:ascii="Tahoma" w:hAnsi="Tahoma"/>
          <w:sz w:val="24"/>
        </w:rPr>
        <w:sectPr>
          <w:type w:val="continuous"/>
          <w:pgSz w:w="11910" w:h="16840"/>
          <w:pgMar w:top="0" w:bottom="280" w:left="180" w:right="340"/>
          <w:cols w:num="2" w:equalWidth="0">
            <w:col w:w="1797" w:space="40"/>
            <w:col w:w="9553"/>
          </w:cols>
        </w:sectPr>
      </w:pPr>
    </w:p>
    <w:p>
      <w:pPr>
        <w:pStyle w:val="ListParagraph"/>
        <w:numPr>
          <w:ilvl w:val="1"/>
          <w:numId w:val="4"/>
        </w:numPr>
        <w:tabs>
          <w:tab w:pos="1284" w:val="left" w:leader="none"/>
        </w:tabs>
        <w:spacing w:line="240" w:lineRule="auto" w:before="80" w:after="0"/>
        <w:ind w:left="1283" w:right="0" w:hanging="329"/>
        <w:jc w:val="left"/>
        <w:rPr>
          <w:rFonts w:ascii="Tahoma" w:hAnsi="Tahoma"/>
          <w:b/>
          <w:color w:val="181A1F"/>
          <w:sz w:val="24"/>
        </w:rPr>
      </w:pPr>
      <w:r>
        <w:rPr>
          <w:rFonts w:ascii="Tahoma" w:hAnsi="Tahoma"/>
          <w:b/>
          <w:color w:val="181A1F"/>
          <w:spacing w:val="-160"/>
          <w:sz w:val="24"/>
          <w:u w:val="thick" w:color="181A1F"/>
        </w:rPr>
        <w:t>C</w:t>
      </w:r>
      <w:r>
        <w:rPr>
          <w:rFonts w:ascii="Tahoma" w:hAnsi="Tahoma"/>
          <w:b/>
          <w:color w:val="181A1F"/>
          <w:spacing w:val="92"/>
          <w:sz w:val="24"/>
        </w:rPr>
        <w:t> </w:t>
      </w:r>
      <w:r>
        <w:rPr>
          <w:rFonts w:ascii="Tahoma" w:hAnsi="Tahoma"/>
          <w:b/>
          <w:color w:val="181A1F"/>
          <w:sz w:val="24"/>
          <w:u w:val="thick" w:color="181A1F"/>
        </w:rPr>
        <w:t>ontrôle de</w:t>
      </w:r>
      <w:r>
        <w:rPr>
          <w:rFonts w:ascii="Tahoma" w:hAnsi="Tahoma"/>
          <w:b/>
          <w:color w:val="181A1F"/>
          <w:spacing w:val="-3"/>
          <w:sz w:val="24"/>
          <w:u w:val="thick" w:color="181A1F"/>
        </w:rPr>
        <w:t> </w:t>
      </w:r>
      <w:r>
        <w:rPr>
          <w:rFonts w:ascii="Tahoma" w:hAnsi="Tahoma"/>
          <w:b/>
          <w:color w:val="181A1F"/>
          <w:sz w:val="24"/>
          <w:u w:val="thick" w:color="181A1F"/>
        </w:rPr>
        <w:t>d'employeur</w:t>
      </w:r>
    </w:p>
    <w:p>
      <w:pPr>
        <w:spacing w:before="101"/>
        <w:ind w:left="1238" w:right="0" w:firstLine="0"/>
        <w:jc w:val="left"/>
        <w:rPr>
          <w:rFonts w:ascii="Tahoma" w:hAnsi="Tahoma"/>
          <w:sz w:val="24"/>
        </w:rPr>
      </w:pPr>
      <w:r>
        <w:rPr>
          <w:rFonts w:ascii="Tahoma" w:hAnsi="Tahoma"/>
          <w:color w:val="181A1F"/>
          <w:sz w:val="24"/>
        </w:rPr>
        <w:t>L'employeur contrôle l'utilisation effective du covoiturage </w:t>
      </w:r>
      <w:r>
        <w:rPr>
          <w:rFonts w:ascii="Tahoma" w:hAnsi="Tahoma"/>
          <w:b/>
          <w:color w:val="181A1F"/>
          <w:sz w:val="24"/>
        </w:rPr>
        <w:t>ou d'un service de mobilité partagée </w:t>
      </w:r>
      <w:r>
        <w:rPr>
          <w:rFonts w:ascii="Tahoma" w:hAnsi="Tahoma"/>
          <w:color w:val="181A1F"/>
          <w:sz w:val="24"/>
        </w:rPr>
        <w:t>en demandant à l'agent tout justificatif utile. Il peut s'agir :</w:t>
      </w:r>
    </w:p>
    <w:p>
      <w:pPr>
        <w:pStyle w:val="ListParagraph"/>
        <w:numPr>
          <w:ilvl w:val="1"/>
          <w:numId w:val="6"/>
        </w:numPr>
        <w:tabs>
          <w:tab w:pos="1401" w:val="left" w:leader="none"/>
        </w:tabs>
        <w:spacing w:line="240" w:lineRule="auto" w:before="2" w:after="0"/>
        <w:ind w:left="1238" w:right="1025" w:firstLine="0"/>
        <w:jc w:val="left"/>
        <w:rPr>
          <w:rFonts w:ascii="Tahoma" w:hAnsi="Tahoma"/>
          <w:sz w:val="24"/>
        </w:rPr>
      </w:pPr>
      <w:r>
        <w:rPr>
          <w:rFonts w:ascii="Tahoma" w:hAnsi="Tahoma"/>
          <w:color w:val="181A1F"/>
          <w:sz w:val="24"/>
        </w:rPr>
        <w:t>d'un relevé de facture (pour le passager) ou de paiement (pour le conducteur)</w:t>
      </w:r>
      <w:r>
        <w:rPr>
          <w:rFonts w:ascii="Tahoma" w:hAnsi="Tahoma"/>
          <w:color w:val="181A1F"/>
          <w:spacing w:val="-21"/>
          <w:sz w:val="24"/>
        </w:rPr>
        <w:t> </w:t>
      </w:r>
      <w:r>
        <w:rPr>
          <w:rFonts w:ascii="Tahoma" w:hAnsi="Tahoma"/>
          <w:color w:val="181A1F"/>
          <w:sz w:val="24"/>
        </w:rPr>
        <w:t>d'une plateforme de covoiturage,</w:t>
      </w:r>
    </w:p>
    <w:p>
      <w:pPr>
        <w:pStyle w:val="ListParagraph"/>
        <w:numPr>
          <w:ilvl w:val="1"/>
          <w:numId w:val="6"/>
        </w:numPr>
        <w:tabs>
          <w:tab w:pos="1401" w:val="left" w:leader="none"/>
        </w:tabs>
        <w:spacing w:line="240" w:lineRule="auto" w:before="1" w:after="0"/>
        <w:ind w:left="1238" w:right="1624" w:firstLine="0"/>
        <w:jc w:val="left"/>
        <w:rPr>
          <w:rFonts w:ascii="Tahoma" w:hAnsi="Tahoma"/>
          <w:sz w:val="24"/>
        </w:rPr>
      </w:pPr>
      <w:r>
        <w:rPr>
          <w:rFonts w:ascii="Tahoma" w:hAnsi="Tahoma"/>
          <w:color w:val="181A1F"/>
          <w:sz w:val="24"/>
        </w:rPr>
        <w:t>d'une attestation sur l’honneur de l'agent si le covoiturage a lieu en dehors</w:t>
      </w:r>
      <w:r>
        <w:rPr>
          <w:rFonts w:ascii="Tahoma" w:hAnsi="Tahoma"/>
          <w:color w:val="181A1F"/>
          <w:spacing w:val="-15"/>
          <w:sz w:val="24"/>
        </w:rPr>
        <w:t> </w:t>
      </w:r>
      <w:r>
        <w:rPr>
          <w:rFonts w:ascii="Tahoma" w:hAnsi="Tahoma"/>
          <w:color w:val="181A1F"/>
          <w:sz w:val="24"/>
        </w:rPr>
        <w:t>des plateformes</w:t>
      </w:r>
      <w:r>
        <w:rPr>
          <w:rFonts w:ascii="Tahoma" w:hAnsi="Tahoma"/>
          <w:color w:val="181A1F"/>
          <w:spacing w:val="2"/>
          <w:sz w:val="24"/>
        </w:rPr>
        <w:t> </w:t>
      </w:r>
      <w:r>
        <w:rPr>
          <w:rFonts w:ascii="Tahoma" w:hAnsi="Tahoma"/>
          <w:color w:val="181A1F"/>
          <w:sz w:val="24"/>
        </w:rPr>
        <w:t>professionnelles,</w:t>
      </w:r>
    </w:p>
    <w:p>
      <w:pPr>
        <w:pStyle w:val="ListParagraph"/>
        <w:numPr>
          <w:ilvl w:val="1"/>
          <w:numId w:val="6"/>
        </w:numPr>
        <w:tabs>
          <w:tab w:pos="1401" w:val="left" w:leader="none"/>
        </w:tabs>
        <w:spacing w:line="240" w:lineRule="auto" w:before="1" w:after="0"/>
        <w:ind w:left="1238" w:right="3615" w:firstLine="0"/>
        <w:jc w:val="left"/>
        <w:rPr>
          <w:rFonts w:ascii="Tahoma" w:hAnsi="Tahoma"/>
          <w:sz w:val="24"/>
        </w:rPr>
      </w:pPr>
      <w:r>
        <w:rPr>
          <w:rFonts w:ascii="Tahoma" w:hAnsi="Tahoma"/>
          <w:color w:val="181A1F"/>
          <w:sz w:val="24"/>
        </w:rPr>
        <w:t>d'une attestation issue du registre de preuve de</w:t>
      </w:r>
      <w:r>
        <w:rPr>
          <w:rFonts w:ascii="Tahoma" w:hAnsi="Tahoma"/>
          <w:color w:val="181A1F"/>
          <w:spacing w:val="-22"/>
          <w:sz w:val="24"/>
        </w:rPr>
        <w:t> </w:t>
      </w:r>
      <w:r>
        <w:rPr>
          <w:rFonts w:ascii="Tahoma" w:hAnsi="Tahoma"/>
          <w:color w:val="181A1F"/>
          <w:sz w:val="24"/>
        </w:rPr>
        <w:t>covoiturage (http://covoiturage.beta.gouv.fr).</w:t>
      </w:r>
    </w:p>
    <w:p>
      <w:pPr>
        <w:pStyle w:val="ListParagraph"/>
        <w:numPr>
          <w:ilvl w:val="0"/>
          <w:numId w:val="7"/>
        </w:numPr>
        <w:tabs>
          <w:tab w:pos="1413" w:val="left" w:leader="none"/>
        </w:tabs>
        <w:spacing w:line="240" w:lineRule="auto" w:before="2" w:after="0"/>
        <w:ind w:left="1238" w:right="1163" w:firstLine="0"/>
        <w:jc w:val="left"/>
        <w:rPr>
          <w:rFonts w:ascii="Tahoma" w:hAnsi="Tahoma"/>
          <w:b/>
          <w:sz w:val="24"/>
        </w:rPr>
      </w:pPr>
      <w:r>
        <w:rPr>
          <w:rFonts w:ascii="Tahoma" w:hAnsi="Tahoma"/>
          <w:b/>
          <w:color w:val="181A1F"/>
          <w:sz w:val="24"/>
        </w:rPr>
        <w:t>un relevé de facture, de paiement, ou une attestation d'abonnement à</w:t>
      </w:r>
      <w:r>
        <w:rPr>
          <w:rFonts w:ascii="Tahoma" w:hAnsi="Tahoma"/>
          <w:b/>
          <w:color w:val="181A1F"/>
          <w:spacing w:val="-24"/>
          <w:sz w:val="24"/>
        </w:rPr>
        <w:t> </w:t>
      </w:r>
      <w:r>
        <w:rPr>
          <w:rFonts w:ascii="Tahoma" w:hAnsi="Tahoma"/>
          <w:b/>
          <w:color w:val="181A1F"/>
          <w:sz w:val="24"/>
        </w:rPr>
        <w:t>un service de location ou de mise à disposition d'engins de</w:t>
      </w:r>
      <w:r>
        <w:rPr>
          <w:rFonts w:ascii="Tahoma" w:hAnsi="Tahoma"/>
          <w:b/>
          <w:color w:val="181A1F"/>
          <w:spacing w:val="-19"/>
          <w:sz w:val="24"/>
        </w:rPr>
        <w:t> </w:t>
      </w:r>
      <w:r>
        <w:rPr>
          <w:rFonts w:ascii="Tahoma" w:hAnsi="Tahoma"/>
          <w:b/>
          <w:color w:val="181A1F"/>
          <w:sz w:val="24"/>
        </w:rPr>
        <w:t>déplacement.</w:t>
      </w:r>
    </w:p>
    <w:p>
      <w:pPr>
        <w:spacing w:before="203"/>
        <w:ind w:left="1238" w:right="612" w:firstLine="0"/>
        <w:jc w:val="left"/>
        <w:rPr>
          <w:rFonts w:ascii="Tahoma" w:hAnsi="Tahoma"/>
          <w:sz w:val="24"/>
        </w:rPr>
      </w:pPr>
      <w:r>
        <w:rPr>
          <w:rFonts w:ascii="Tahoma" w:hAnsi="Tahoma"/>
          <w:color w:val="181A1F"/>
          <w:sz w:val="24"/>
        </w:rPr>
        <w:t>L'employeur peut contrôler l'utilisation du vélo ou vélo à assistance électrique personnel par l'agent </w:t>
      </w:r>
      <w:r>
        <w:rPr>
          <w:rFonts w:ascii="Tahoma" w:hAnsi="Tahoma"/>
          <w:b/>
          <w:color w:val="181A1F"/>
          <w:sz w:val="24"/>
        </w:rPr>
        <w:t>ou d'un engin de déplacement personnel motorisé</w:t>
      </w:r>
      <w:r>
        <w:rPr>
          <w:rFonts w:ascii="Tahoma" w:hAnsi="Tahoma"/>
          <w:color w:val="181A1F"/>
          <w:sz w:val="24"/>
        </w:rPr>
        <w:t>. Il peut par exemple lui demander de produire tout justificatif utile : factures d'achat, d'assurance, ou d'entretien.</w:t>
      </w:r>
    </w:p>
    <w:p>
      <w:pPr>
        <w:pStyle w:val="BodyText"/>
        <w:rPr>
          <w:rFonts w:ascii="Tahoma"/>
          <w:sz w:val="41"/>
        </w:rPr>
      </w:pPr>
    </w:p>
    <w:p>
      <w:pPr>
        <w:pStyle w:val="ListParagraph"/>
        <w:numPr>
          <w:ilvl w:val="1"/>
          <w:numId w:val="4"/>
        </w:numPr>
        <w:tabs>
          <w:tab w:pos="1260" w:val="left" w:leader="none"/>
        </w:tabs>
        <w:spacing w:line="240" w:lineRule="auto" w:before="0" w:after="0"/>
        <w:ind w:left="1260" w:right="0" w:hanging="305"/>
        <w:jc w:val="left"/>
        <w:rPr>
          <w:rFonts w:ascii="Tahoma"/>
          <w:b/>
          <w:color w:val="181A1F"/>
          <w:sz w:val="24"/>
        </w:rPr>
      </w:pPr>
      <w:r>
        <w:rPr>
          <w:rFonts w:ascii="Times New Roman"/>
          <w:color w:val="181A1F"/>
          <w:spacing w:val="-59"/>
          <w:sz w:val="24"/>
          <w:u w:val="thick" w:color="181A1F"/>
        </w:rPr>
        <w:t> </w:t>
      </w:r>
      <w:r>
        <w:rPr>
          <w:rFonts w:ascii="Tahoma"/>
          <w:b/>
          <w:color w:val="181A1F"/>
          <w:sz w:val="24"/>
          <w:u w:val="thick" w:color="181A1F"/>
        </w:rPr>
        <w:t>Montant annuel du</w:t>
      </w:r>
      <w:r>
        <w:rPr>
          <w:rFonts w:ascii="Tahoma"/>
          <w:b/>
          <w:color w:val="181A1F"/>
          <w:spacing w:val="-5"/>
          <w:sz w:val="24"/>
          <w:u w:val="thick" w:color="181A1F"/>
        </w:rPr>
        <w:t> </w:t>
      </w:r>
      <w:r>
        <w:rPr>
          <w:rFonts w:ascii="Tahoma"/>
          <w:b/>
          <w:color w:val="181A1F"/>
          <w:sz w:val="24"/>
          <w:u w:val="thick" w:color="181A1F"/>
        </w:rPr>
        <w:t>versement</w:t>
      </w:r>
    </w:p>
    <w:p>
      <w:pPr>
        <w:spacing w:before="101"/>
        <w:ind w:left="1238" w:right="1005" w:firstLine="0"/>
        <w:jc w:val="left"/>
        <w:rPr>
          <w:rFonts w:ascii="Tahoma" w:hAnsi="Tahoma"/>
          <w:sz w:val="24"/>
        </w:rPr>
      </w:pPr>
      <w:r>
        <w:rPr>
          <w:rFonts w:ascii="Tahoma" w:hAnsi="Tahoma"/>
          <w:color w:val="181A1F"/>
          <w:sz w:val="24"/>
        </w:rPr>
        <w:t>Pour les déplacements effectués à compter du 1er janvier 2022, le montant annuel du "forfait mobilités durables" est fixé à :</w:t>
      </w:r>
    </w:p>
    <w:p>
      <w:pPr>
        <w:pStyle w:val="ListParagraph"/>
        <w:numPr>
          <w:ilvl w:val="0"/>
          <w:numId w:val="7"/>
        </w:numPr>
        <w:tabs>
          <w:tab w:pos="1413" w:val="left" w:leader="none"/>
        </w:tabs>
        <w:spacing w:line="240" w:lineRule="auto" w:before="203" w:after="0"/>
        <w:ind w:left="1238" w:right="1033" w:firstLine="0"/>
        <w:jc w:val="left"/>
        <w:rPr>
          <w:rFonts w:ascii="Tahoma" w:hAnsi="Tahoma"/>
          <w:b/>
          <w:sz w:val="24"/>
        </w:rPr>
      </w:pPr>
      <w:r>
        <w:rPr>
          <w:rFonts w:ascii="Tahoma" w:hAnsi="Tahoma"/>
          <w:b/>
          <w:color w:val="181A1F"/>
          <w:sz w:val="24"/>
        </w:rPr>
        <w:t>100 euros lorsque l’utilisation du moyen de transport éligible est</w:t>
      </w:r>
      <w:r>
        <w:rPr>
          <w:rFonts w:ascii="Tahoma" w:hAnsi="Tahoma"/>
          <w:b/>
          <w:color w:val="181A1F"/>
          <w:spacing w:val="-27"/>
          <w:sz w:val="24"/>
        </w:rPr>
        <w:t> </w:t>
      </w:r>
      <w:r>
        <w:rPr>
          <w:rFonts w:ascii="Tahoma" w:hAnsi="Tahoma"/>
          <w:b/>
          <w:color w:val="181A1F"/>
          <w:sz w:val="24"/>
        </w:rPr>
        <w:t>comprise entre 30 et 59 jours</w:t>
      </w:r>
      <w:r>
        <w:rPr>
          <w:rFonts w:ascii="Tahoma" w:hAnsi="Tahoma"/>
          <w:b/>
          <w:color w:val="181A1F"/>
          <w:spacing w:val="-5"/>
          <w:sz w:val="24"/>
        </w:rPr>
        <w:t> </w:t>
      </w:r>
      <w:r>
        <w:rPr>
          <w:rFonts w:ascii="Tahoma" w:hAnsi="Tahoma"/>
          <w:b/>
          <w:color w:val="181A1F"/>
          <w:sz w:val="24"/>
        </w:rPr>
        <w:t>;</w:t>
      </w:r>
    </w:p>
    <w:p>
      <w:pPr>
        <w:pStyle w:val="ListParagraph"/>
        <w:numPr>
          <w:ilvl w:val="0"/>
          <w:numId w:val="7"/>
        </w:numPr>
        <w:tabs>
          <w:tab w:pos="1413" w:val="left" w:leader="none"/>
        </w:tabs>
        <w:spacing w:line="240" w:lineRule="auto" w:before="203" w:after="0"/>
        <w:ind w:left="1238" w:right="1033" w:firstLine="0"/>
        <w:jc w:val="left"/>
        <w:rPr>
          <w:rFonts w:ascii="Tahoma" w:hAnsi="Tahoma"/>
          <w:b/>
          <w:sz w:val="24"/>
        </w:rPr>
      </w:pPr>
      <w:r>
        <w:rPr>
          <w:rFonts w:ascii="Tahoma" w:hAnsi="Tahoma"/>
          <w:b/>
          <w:color w:val="181A1F"/>
          <w:sz w:val="24"/>
        </w:rPr>
        <w:t>200 euros lorsque l’utilisation du moyen de transport éligible est</w:t>
      </w:r>
      <w:r>
        <w:rPr>
          <w:rFonts w:ascii="Tahoma" w:hAnsi="Tahoma"/>
          <w:b/>
          <w:color w:val="181A1F"/>
          <w:spacing w:val="-27"/>
          <w:sz w:val="24"/>
        </w:rPr>
        <w:t> </w:t>
      </w:r>
      <w:r>
        <w:rPr>
          <w:rFonts w:ascii="Tahoma" w:hAnsi="Tahoma"/>
          <w:b/>
          <w:color w:val="181A1F"/>
          <w:sz w:val="24"/>
        </w:rPr>
        <w:t>comprise entre 60 et 99 jours</w:t>
      </w:r>
      <w:r>
        <w:rPr>
          <w:rFonts w:ascii="Tahoma" w:hAnsi="Tahoma"/>
          <w:b/>
          <w:color w:val="181A1F"/>
          <w:spacing w:val="-5"/>
          <w:sz w:val="24"/>
        </w:rPr>
        <w:t> </w:t>
      </w:r>
      <w:r>
        <w:rPr>
          <w:rFonts w:ascii="Tahoma" w:hAnsi="Tahoma"/>
          <w:b/>
          <w:color w:val="181A1F"/>
          <w:sz w:val="24"/>
        </w:rPr>
        <w:t>;</w:t>
      </w:r>
    </w:p>
    <w:p>
      <w:pPr>
        <w:pStyle w:val="ListParagraph"/>
        <w:numPr>
          <w:ilvl w:val="0"/>
          <w:numId w:val="7"/>
        </w:numPr>
        <w:tabs>
          <w:tab w:pos="1413" w:val="left" w:leader="none"/>
        </w:tabs>
        <w:spacing w:line="240" w:lineRule="auto" w:before="203" w:after="0"/>
        <w:ind w:left="1238" w:right="815" w:firstLine="0"/>
        <w:jc w:val="left"/>
        <w:rPr>
          <w:rFonts w:ascii="Tahoma" w:hAnsi="Tahoma"/>
          <w:b/>
          <w:sz w:val="24"/>
        </w:rPr>
      </w:pPr>
      <w:r>
        <w:rPr>
          <w:rFonts w:ascii="Tahoma" w:hAnsi="Tahoma"/>
          <w:b/>
          <w:color w:val="181A1F"/>
          <w:sz w:val="24"/>
        </w:rPr>
        <w:t>300 euros lorsque l’utilisation du moyen de transport éligible est d’au</w:t>
      </w:r>
      <w:r>
        <w:rPr>
          <w:rFonts w:ascii="Tahoma" w:hAnsi="Tahoma"/>
          <w:b/>
          <w:color w:val="181A1F"/>
          <w:spacing w:val="-23"/>
          <w:sz w:val="24"/>
        </w:rPr>
        <w:t> </w:t>
      </w:r>
      <w:r>
        <w:rPr>
          <w:rFonts w:ascii="Tahoma" w:hAnsi="Tahoma"/>
          <w:b/>
          <w:color w:val="181A1F"/>
          <w:sz w:val="24"/>
        </w:rPr>
        <w:t>moins 100</w:t>
      </w:r>
      <w:r>
        <w:rPr>
          <w:rFonts w:ascii="Tahoma" w:hAnsi="Tahoma"/>
          <w:b/>
          <w:color w:val="181A1F"/>
          <w:spacing w:val="2"/>
          <w:sz w:val="24"/>
        </w:rPr>
        <w:t> </w:t>
      </w:r>
      <w:r>
        <w:rPr>
          <w:rFonts w:ascii="Tahoma" w:hAnsi="Tahoma"/>
          <w:b/>
          <w:color w:val="181A1F"/>
          <w:sz w:val="24"/>
        </w:rPr>
        <w:t>jours.</w:t>
      </w:r>
    </w:p>
    <w:p>
      <w:pPr>
        <w:spacing w:before="203"/>
        <w:ind w:left="1238" w:right="0" w:firstLine="0"/>
        <w:jc w:val="left"/>
        <w:rPr>
          <w:rFonts w:ascii="Tahoma" w:hAnsi="Tahoma"/>
          <w:sz w:val="24"/>
        </w:rPr>
      </w:pPr>
      <w:r>
        <w:rPr>
          <w:rFonts w:ascii="Tahoma" w:hAnsi="Tahoma"/>
          <w:color w:val="181A1F"/>
          <w:sz w:val="24"/>
        </w:rPr>
        <w:t>Le forfait mobilités durables est exonéré de cotisations sociales (y compris CSG et CRDS)</w:t>
      </w:r>
    </w:p>
    <w:p>
      <w:pPr>
        <w:spacing w:before="203"/>
        <w:ind w:left="1238" w:right="554" w:firstLine="0"/>
        <w:jc w:val="left"/>
        <w:rPr>
          <w:rFonts w:ascii="Tahoma" w:hAnsi="Tahoma"/>
          <w:sz w:val="24"/>
        </w:rPr>
      </w:pPr>
      <w:r>
        <w:rPr>
          <w:rFonts w:ascii="Tahoma" w:hAnsi="Tahoma"/>
          <w:color w:val="181A1F"/>
          <w:sz w:val="24"/>
        </w:rPr>
        <w:t>Lorsqu'il est cumulé avec la prise en charge par l’employeur des frais de transports publics ou d'abonnement à un service public de location de vélos, l’exonération résultant de ces deux prises en charge ne peut excéder 800 euros par an.</w:t>
      </w:r>
    </w:p>
    <w:p>
      <w:pPr>
        <w:pStyle w:val="BodyText"/>
        <w:rPr>
          <w:rFonts w:ascii="Tahoma"/>
          <w:sz w:val="28"/>
        </w:rPr>
      </w:pPr>
    </w:p>
    <w:p>
      <w:pPr>
        <w:pStyle w:val="BodyText"/>
        <w:spacing w:before="3"/>
        <w:rPr>
          <w:rFonts w:ascii="Tahoma"/>
          <w:sz w:val="21"/>
        </w:rPr>
      </w:pPr>
    </w:p>
    <w:p>
      <w:pPr>
        <w:pStyle w:val="ListParagraph"/>
        <w:numPr>
          <w:ilvl w:val="1"/>
          <w:numId w:val="4"/>
        </w:numPr>
        <w:tabs>
          <w:tab w:pos="1284" w:val="left" w:leader="none"/>
        </w:tabs>
        <w:spacing w:line="240" w:lineRule="auto" w:before="0" w:after="0"/>
        <w:ind w:left="1284" w:right="0" w:hanging="329"/>
        <w:jc w:val="left"/>
        <w:rPr>
          <w:rFonts w:ascii="Tahoma" w:hAnsi="Tahoma"/>
          <w:b/>
          <w:color w:val="181A1F"/>
          <w:sz w:val="24"/>
        </w:rPr>
      </w:pPr>
      <w:r>
        <w:rPr>
          <w:rFonts w:ascii="Times New Roman" w:hAnsi="Times New Roman"/>
          <w:color w:val="181A1F"/>
          <w:spacing w:val="-59"/>
          <w:sz w:val="24"/>
          <w:u w:val="thick" w:color="181A1F"/>
        </w:rPr>
        <w:t> </w:t>
      </w:r>
      <w:r>
        <w:rPr>
          <w:rFonts w:ascii="Tahoma" w:hAnsi="Tahoma"/>
          <w:b/>
          <w:color w:val="181A1F"/>
          <w:sz w:val="24"/>
          <w:u w:val="thick" w:color="181A1F"/>
        </w:rPr>
        <w:t>Règles de</w:t>
      </w:r>
      <w:r>
        <w:rPr>
          <w:rFonts w:ascii="Tahoma" w:hAnsi="Tahoma"/>
          <w:b/>
          <w:color w:val="181A1F"/>
          <w:spacing w:val="-5"/>
          <w:sz w:val="24"/>
          <w:u w:val="thick" w:color="181A1F"/>
        </w:rPr>
        <w:t> </w:t>
      </w:r>
      <w:r>
        <w:rPr>
          <w:rFonts w:ascii="Tahoma" w:hAnsi="Tahoma"/>
          <w:b/>
          <w:color w:val="181A1F"/>
          <w:sz w:val="24"/>
          <w:u w:val="thick" w:color="181A1F"/>
        </w:rPr>
        <w:t>cumul</w:t>
      </w:r>
    </w:p>
    <w:p>
      <w:pPr>
        <w:spacing w:before="102"/>
        <w:ind w:left="1380" w:right="0" w:firstLine="0"/>
        <w:jc w:val="left"/>
        <w:rPr>
          <w:rFonts w:ascii="Tahoma" w:hAnsi="Tahoma"/>
          <w:sz w:val="24"/>
        </w:rPr>
      </w:pPr>
      <w:r>
        <w:rPr>
          <w:rFonts w:ascii="Tahoma" w:hAnsi="Tahoma"/>
          <w:color w:val="181A1F"/>
          <w:sz w:val="24"/>
        </w:rPr>
        <w:t>Pour les déplacements effectués à compter du 1er janvier 2022, le versement</w:t>
      </w:r>
    </w:p>
    <w:p>
      <w:pPr>
        <w:spacing w:before="0"/>
        <w:ind w:left="1380" w:right="473" w:firstLine="0"/>
        <w:jc w:val="left"/>
        <w:rPr>
          <w:rFonts w:ascii="Tahoma" w:hAnsi="Tahoma"/>
          <w:sz w:val="24"/>
        </w:rPr>
      </w:pPr>
      <w:r>
        <w:rPr>
          <w:rFonts w:ascii="Tahoma" w:hAnsi="Tahoma"/>
          <w:color w:val="181A1F"/>
          <w:sz w:val="24"/>
        </w:rPr>
        <w:t>du forfait peut désormais se cumuler avec la prise en charge des frais de transports publics ou d'abonnement à un service public de location de vélos (cf partie I). A noter qu'auparavant, le décret excluait expressément ce cumul.</w:t>
      </w:r>
    </w:p>
    <w:p>
      <w:pPr>
        <w:spacing w:before="204"/>
        <w:ind w:left="1380" w:right="0" w:firstLine="0"/>
        <w:jc w:val="left"/>
        <w:rPr>
          <w:rFonts w:ascii="Tahoma" w:hAnsi="Tahoma"/>
          <w:b/>
          <w:sz w:val="24"/>
        </w:rPr>
      </w:pPr>
      <w:r>
        <w:rPr>
          <w:rFonts w:ascii="Tahoma" w:hAnsi="Tahoma"/>
          <w:b/>
          <w:color w:val="181A1F"/>
          <w:sz w:val="24"/>
        </w:rPr>
        <w:t>Néanmoins, un même abonnement ne peut donner lieu à une prise en charge simultanée au titre de chacun de ces deux dispositifs.</w:t>
      </w:r>
    </w:p>
    <w:p>
      <w:pPr>
        <w:spacing w:before="203"/>
        <w:ind w:left="1449" w:right="0" w:firstLine="0"/>
        <w:jc w:val="left"/>
        <w:rPr>
          <w:rFonts w:ascii="Tahoma" w:hAnsi="Tahoma"/>
          <w:sz w:val="24"/>
        </w:rPr>
      </w:pPr>
      <w:r>
        <w:rPr>
          <w:rFonts w:ascii="Tahoma" w:hAnsi="Tahoma"/>
          <w:color w:val="181A1F"/>
          <w:sz w:val="24"/>
        </w:rPr>
        <w:t>Par ailleurs, le forfait ne peut bénéficier :</w:t>
      </w:r>
    </w:p>
    <w:p>
      <w:pPr>
        <w:pStyle w:val="ListParagraph"/>
        <w:numPr>
          <w:ilvl w:val="1"/>
          <w:numId w:val="7"/>
        </w:numPr>
        <w:tabs>
          <w:tab w:pos="1543" w:val="left" w:leader="none"/>
        </w:tabs>
        <w:spacing w:line="240" w:lineRule="auto" w:before="1" w:after="0"/>
        <w:ind w:left="1542" w:right="0" w:hanging="163"/>
        <w:jc w:val="left"/>
        <w:rPr>
          <w:rFonts w:ascii="Tahoma" w:hAnsi="Tahoma"/>
          <w:sz w:val="24"/>
        </w:rPr>
      </w:pPr>
      <w:r>
        <w:rPr>
          <w:rFonts w:ascii="Tahoma" w:hAnsi="Tahoma"/>
          <w:color w:val="181A1F"/>
          <w:sz w:val="24"/>
        </w:rPr>
        <w:t>aux agents bénéficiant d’un logement de fonction sur leur lieu de</w:t>
      </w:r>
      <w:r>
        <w:rPr>
          <w:rFonts w:ascii="Tahoma" w:hAnsi="Tahoma"/>
          <w:color w:val="181A1F"/>
          <w:spacing w:val="-6"/>
          <w:sz w:val="24"/>
        </w:rPr>
        <w:t> </w:t>
      </w:r>
      <w:r>
        <w:rPr>
          <w:rFonts w:ascii="Tahoma" w:hAnsi="Tahoma"/>
          <w:color w:val="181A1F"/>
          <w:sz w:val="24"/>
        </w:rPr>
        <w:t>travail,</w:t>
      </w:r>
    </w:p>
    <w:p>
      <w:pPr>
        <w:pStyle w:val="ListParagraph"/>
        <w:numPr>
          <w:ilvl w:val="1"/>
          <w:numId w:val="7"/>
        </w:numPr>
        <w:tabs>
          <w:tab w:pos="1543" w:val="left" w:leader="none"/>
        </w:tabs>
        <w:spacing w:line="240" w:lineRule="auto" w:before="1" w:after="0"/>
        <w:ind w:left="1542" w:right="0" w:hanging="163"/>
        <w:jc w:val="left"/>
        <w:rPr>
          <w:rFonts w:ascii="Tahoma" w:hAnsi="Tahoma"/>
          <w:sz w:val="24"/>
        </w:rPr>
      </w:pPr>
      <w:r>
        <w:rPr>
          <w:rFonts w:ascii="Tahoma" w:hAnsi="Tahoma"/>
          <w:color w:val="181A1F"/>
          <w:sz w:val="24"/>
        </w:rPr>
        <w:t>aux agents bénéficiant d’un véhicule de</w:t>
      </w:r>
      <w:r>
        <w:rPr>
          <w:rFonts w:ascii="Tahoma" w:hAnsi="Tahoma"/>
          <w:color w:val="181A1F"/>
          <w:spacing w:val="6"/>
          <w:sz w:val="24"/>
        </w:rPr>
        <w:t> </w:t>
      </w:r>
      <w:r>
        <w:rPr>
          <w:rFonts w:ascii="Tahoma" w:hAnsi="Tahoma"/>
          <w:color w:val="181A1F"/>
          <w:sz w:val="24"/>
        </w:rPr>
        <w:t>fonction,</w:t>
      </w:r>
    </w:p>
    <w:p>
      <w:pPr>
        <w:pStyle w:val="ListParagraph"/>
        <w:numPr>
          <w:ilvl w:val="1"/>
          <w:numId w:val="7"/>
        </w:numPr>
        <w:tabs>
          <w:tab w:pos="1543" w:val="left" w:leader="none"/>
        </w:tabs>
        <w:spacing w:line="240" w:lineRule="auto" w:before="0" w:after="0"/>
        <w:ind w:left="1380" w:right="667" w:firstLine="0"/>
        <w:jc w:val="left"/>
        <w:rPr>
          <w:rFonts w:ascii="Tahoma" w:hAnsi="Tahoma"/>
          <w:sz w:val="24"/>
        </w:rPr>
      </w:pPr>
      <w:r>
        <w:rPr>
          <w:rFonts w:ascii="Tahoma" w:hAnsi="Tahoma"/>
          <w:color w:val="181A1F"/>
          <w:sz w:val="24"/>
        </w:rPr>
        <w:t>aux agents bénéficiant d’un transport collectif gratuit entre leur domicile et leur lieu</w:t>
      </w:r>
      <w:r>
        <w:rPr>
          <w:rFonts w:ascii="Tahoma" w:hAnsi="Tahoma"/>
          <w:color w:val="181A1F"/>
          <w:spacing w:val="-15"/>
          <w:sz w:val="24"/>
        </w:rPr>
        <w:t> </w:t>
      </w:r>
      <w:r>
        <w:rPr>
          <w:rFonts w:ascii="Tahoma" w:hAnsi="Tahoma"/>
          <w:color w:val="181A1F"/>
          <w:sz w:val="24"/>
        </w:rPr>
        <w:t>de travail,</w:t>
      </w:r>
    </w:p>
    <w:p>
      <w:pPr>
        <w:pStyle w:val="ListParagraph"/>
        <w:numPr>
          <w:ilvl w:val="1"/>
          <w:numId w:val="7"/>
        </w:numPr>
        <w:tabs>
          <w:tab w:pos="1543" w:val="left" w:leader="none"/>
        </w:tabs>
        <w:spacing w:line="240" w:lineRule="auto" w:before="2" w:after="0"/>
        <w:ind w:left="1542" w:right="0" w:hanging="163"/>
        <w:jc w:val="left"/>
        <w:rPr>
          <w:rFonts w:ascii="Tahoma" w:hAnsi="Tahoma"/>
          <w:sz w:val="24"/>
        </w:rPr>
      </w:pPr>
      <w:r>
        <w:rPr>
          <w:rFonts w:ascii="Tahoma" w:hAnsi="Tahoma"/>
          <w:color w:val="181A1F"/>
          <w:sz w:val="24"/>
        </w:rPr>
        <w:t>aux agents transportés gratuitement par leur</w:t>
      </w:r>
      <w:r>
        <w:rPr>
          <w:rFonts w:ascii="Tahoma" w:hAnsi="Tahoma"/>
          <w:color w:val="181A1F"/>
          <w:spacing w:val="-4"/>
          <w:sz w:val="24"/>
        </w:rPr>
        <w:t> </w:t>
      </w:r>
      <w:r>
        <w:rPr>
          <w:rFonts w:ascii="Tahoma" w:hAnsi="Tahoma"/>
          <w:color w:val="181A1F"/>
          <w:sz w:val="24"/>
        </w:rPr>
        <w:t>employeur.</w:t>
      </w:r>
    </w:p>
    <w:sectPr>
      <w:pgSz w:w="11910" w:h="16840"/>
      <w:pgMar w:top="900" w:bottom="280" w:left="18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Bahnschrift Light">
    <w:altName w:val="Bahnschrift Light"/>
    <w:charset w:val="0"/>
    <w:family w:val="swiss"/>
    <w:pitch w:val="variable"/>
  </w:font>
  <w:font w:name="Comic Sans MS">
    <w:altName w:val="Comic Sans MS"/>
    <w:charset w:val="0"/>
    <w:family w:val="script"/>
    <w:pitch w:val="variable"/>
  </w:font>
  <w:font w:name="Wingdings">
    <w:altName w:val="Wingdings"/>
    <w:charset w:val="2"/>
    <w:family w:val="auto"/>
    <w:pitch w:val="variable"/>
  </w:font>
  <w:font w:name="Tahoma">
    <w:altName w:val="Tahoma"/>
    <w:charset w:val="0"/>
    <w:family w:val="swiss"/>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238" w:hanging="174"/>
      </w:pPr>
      <w:rPr>
        <w:rFonts w:hint="default" w:ascii="Tahoma" w:hAnsi="Tahoma" w:eastAsia="Tahoma" w:cs="Tahoma"/>
        <w:b/>
        <w:bCs/>
        <w:color w:val="181A1F"/>
        <w:spacing w:val="-4"/>
        <w:w w:val="100"/>
        <w:sz w:val="24"/>
        <w:szCs w:val="24"/>
      </w:rPr>
    </w:lvl>
    <w:lvl w:ilvl="1">
      <w:start w:val="0"/>
      <w:numFmt w:val="bullet"/>
      <w:lvlText w:val="-"/>
      <w:lvlJc w:val="left"/>
      <w:pPr>
        <w:ind w:left="1380" w:hanging="163"/>
      </w:pPr>
      <w:rPr>
        <w:rFonts w:hint="default" w:ascii="Tahoma" w:hAnsi="Tahoma" w:eastAsia="Tahoma" w:cs="Tahoma"/>
        <w:color w:val="181A1F"/>
        <w:spacing w:val="-4"/>
        <w:w w:val="100"/>
        <w:sz w:val="24"/>
        <w:szCs w:val="24"/>
      </w:rPr>
    </w:lvl>
    <w:lvl w:ilvl="2">
      <w:start w:val="0"/>
      <w:numFmt w:val="bullet"/>
      <w:lvlText w:val="•"/>
      <w:lvlJc w:val="left"/>
      <w:pPr>
        <w:ind w:left="2491" w:hanging="163"/>
      </w:pPr>
      <w:rPr>
        <w:rFonts w:hint="default"/>
      </w:rPr>
    </w:lvl>
    <w:lvl w:ilvl="3">
      <w:start w:val="0"/>
      <w:numFmt w:val="bullet"/>
      <w:lvlText w:val="•"/>
      <w:lvlJc w:val="left"/>
      <w:pPr>
        <w:ind w:left="3603" w:hanging="163"/>
      </w:pPr>
      <w:rPr>
        <w:rFonts w:hint="default"/>
      </w:rPr>
    </w:lvl>
    <w:lvl w:ilvl="4">
      <w:start w:val="0"/>
      <w:numFmt w:val="bullet"/>
      <w:lvlText w:val="•"/>
      <w:lvlJc w:val="left"/>
      <w:pPr>
        <w:ind w:left="4715" w:hanging="163"/>
      </w:pPr>
      <w:rPr>
        <w:rFonts w:hint="default"/>
      </w:rPr>
    </w:lvl>
    <w:lvl w:ilvl="5">
      <w:start w:val="0"/>
      <w:numFmt w:val="bullet"/>
      <w:lvlText w:val="•"/>
      <w:lvlJc w:val="left"/>
      <w:pPr>
        <w:ind w:left="5827" w:hanging="163"/>
      </w:pPr>
      <w:rPr>
        <w:rFonts w:hint="default"/>
      </w:rPr>
    </w:lvl>
    <w:lvl w:ilvl="6">
      <w:start w:val="0"/>
      <w:numFmt w:val="bullet"/>
      <w:lvlText w:val="•"/>
      <w:lvlJc w:val="left"/>
      <w:pPr>
        <w:ind w:left="6939" w:hanging="163"/>
      </w:pPr>
      <w:rPr>
        <w:rFonts w:hint="default"/>
      </w:rPr>
    </w:lvl>
    <w:lvl w:ilvl="7">
      <w:start w:val="0"/>
      <w:numFmt w:val="bullet"/>
      <w:lvlText w:val="•"/>
      <w:lvlJc w:val="left"/>
      <w:pPr>
        <w:ind w:left="8050" w:hanging="163"/>
      </w:pPr>
      <w:rPr>
        <w:rFonts w:hint="default"/>
      </w:rPr>
    </w:lvl>
    <w:lvl w:ilvl="8">
      <w:start w:val="0"/>
      <w:numFmt w:val="bullet"/>
      <w:lvlText w:val="•"/>
      <w:lvlJc w:val="left"/>
      <w:pPr>
        <w:ind w:left="9162" w:hanging="163"/>
      </w:pPr>
      <w:rPr>
        <w:rFonts w:hint="default"/>
      </w:rPr>
    </w:lvl>
  </w:abstractNum>
  <w:abstractNum w:abstractNumId="5">
    <w:multiLevelType w:val="hybridMultilevel"/>
    <w:lvl w:ilvl="0">
      <w:start w:val="0"/>
      <w:numFmt w:val="bullet"/>
      <w:lvlText w:val="*"/>
      <w:lvlJc w:val="left"/>
      <w:pPr>
        <w:ind w:left="176" w:hanging="207"/>
      </w:pPr>
      <w:rPr>
        <w:rFonts w:hint="default" w:ascii="Tahoma" w:hAnsi="Tahoma" w:eastAsia="Tahoma" w:cs="Tahoma"/>
        <w:color w:val="181A1F"/>
        <w:spacing w:val="-2"/>
        <w:w w:val="100"/>
        <w:sz w:val="24"/>
        <w:szCs w:val="24"/>
      </w:rPr>
    </w:lvl>
    <w:lvl w:ilvl="1">
      <w:start w:val="0"/>
      <w:numFmt w:val="bullet"/>
      <w:lvlText w:val="-"/>
      <w:lvlJc w:val="left"/>
      <w:pPr>
        <w:ind w:left="1238" w:hanging="163"/>
      </w:pPr>
      <w:rPr>
        <w:rFonts w:hint="default" w:ascii="Tahoma" w:hAnsi="Tahoma" w:eastAsia="Tahoma" w:cs="Tahoma"/>
        <w:color w:val="181A1F"/>
        <w:spacing w:val="-4"/>
        <w:w w:val="100"/>
        <w:sz w:val="24"/>
        <w:szCs w:val="24"/>
      </w:rPr>
    </w:lvl>
    <w:lvl w:ilvl="2">
      <w:start w:val="0"/>
      <w:numFmt w:val="bullet"/>
      <w:lvlText w:val="•"/>
      <w:lvlJc w:val="left"/>
      <w:pPr>
        <w:ind w:left="2163" w:hanging="163"/>
      </w:pPr>
      <w:rPr>
        <w:rFonts w:hint="default"/>
      </w:rPr>
    </w:lvl>
    <w:lvl w:ilvl="3">
      <w:start w:val="0"/>
      <w:numFmt w:val="bullet"/>
      <w:lvlText w:val="•"/>
      <w:lvlJc w:val="left"/>
      <w:pPr>
        <w:ind w:left="3086" w:hanging="163"/>
      </w:pPr>
      <w:rPr>
        <w:rFonts w:hint="default"/>
      </w:rPr>
    </w:lvl>
    <w:lvl w:ilvl="4">
      <w:start w:val="0"/>
      <w:numFmt w:val="bullet"/>
      <w:lvlText w:val="•"/>
      <w:lvlJc w:val="left"/>
      <w:pPr>
        <w:ind w:left="4010" w:hanging="163"/>
      </w:pPr>
      <w:rPr>
        <w:rFonts w:hint="default"/>
      </w:rPr>
    </w:lvl>
    <w:lvl w:ilvl="5">
      <w:start w:val="0"/>
      <w:numFmt w:val="bullet"/>
      <w:lvlText w:val="•"/>
      <w:lvlJc w:val="left"/>
      <w:pPr>
        <w:ind w:left="4933" w:hanging="163"/>
      </w:pPr>
      <w:rPr>
        <w:rFonts w:hint="default"/>
      </w:rPr>
    </w:lvl>
    <w:lvl w:ilvl="6">
      <w:start w:val="0"/>
      <w:numFmt w:val="bullet"/>
      <w:lvlText w:val="•"/>
      <w:lvlJc w:val="left"/>
      <w:pPr>
        <w:ind w:left="5856" w:hanging="163"/>
      </w:pPr>
      <w:rPr>
        <w:rFonts w:hint="default"/>
      </w:rPr>
    </w:lvl>
    <w:lvl w:ilvl="7">
      <w:start w:val="0"/>
      <w:numFmt w:val="bullet"/>
      <w:lvlText w:val="•"/>
      <w:lvlJc w:val="left"/>
      <w:pPr>
        <w:ind w:left="6780" w:hanging="163"/>
      </w:pPr>
      <w:rPr>
        <w:rFonts w:hint="default"/>
      </w:rPr>
    </w:lvl>
    <w:lvl w:ilvl="8">
      <w:start w:val="0"/>
      <w:numFmt w:val="bullet"/>
      <w:lvlText w:val="•"/>
      <w:lvlJc w:val="left"/>
      <w:pPr>
        <w:ind w:left="7703" w:hanging="163"/>
      </w:pPr>
      <w:rPr>
        <w:rFonts w:hint="default"/>
      </w:rPr>
    </w:lvl>
  </w:abstractNum>
  <w:abstractNum w:abstractNumId="4">
    <w:multiLevelType w:val="hybridMultilevel"/>
    <w:lvl w:ilvl="0">
      <w:start w:val="0"/>
      <w:numFmt w:val="bullet"/>
      <w:lvlText w:val="-"/>
      <w:lvlJc w:val="left"/>
      <w:pPr>
        <w:ind w:left="1380" w:hanging="174"/>
      </w:pPr>
      <w:rPr>
        <w:rFonts w:hint="default" w:ascii="Tahoma" w:hAnsi="Tahoma" w:eastAsia="Tahoma" w:cs="Tahoma"/>
        <w:b/>
        <w:bCs/>
        <w:spacing w:val="-4"/>
        <w:w w:val="100"/>
        <w:sz w:val="24"/>
        <w:szCs w:val="24"/>
      </w:rPr>
    </w:lvl>
    <w:lvl w:ilvl="1">
      <w:start w:val="0"/>
      <w:numFmt w:val="bullet"/>
      <w:lvlText w:val="•"/>
      <w:lvlJc w:val="left"/>
      <w:pPr>
        <w:ind w:left="2380" w:hanging="174"/>
      </w:pPr>
      <w:rPr>
        <w:rFonts w:hint="default"/>
      </w:rPr>
    </w:lvl>
    <w:lvl w:ilvl="2">
      <w:start w:val="0"/>
      <w:numFmt w:val="bullet"/>
      <w:lvlText w:val="•"/>
      <w:lvlJc w:val="left"/>
      <w:pPr>
        <w:ind w:left="3381" w:hanging="174"/>
      </w:pPr>
      <w:rPr>
        <w:rFonts w:hint="default"/>
      </w:rPr>
    </w:lvl>
    <w:lvl w:ilvl="3">
      <w:start w:val="0"/>
      <w:numFmt w:val="bullet"/>
      <w:lvlText w:val="•"/>
      <w:lvlJc w:val="left"/>
      <w:pPr>
        <w:ind w:left="4381" w:hanging="174"/>
      </w:pPr>
      <w:rPr>
        <w:rFonts w:hint="default"/>
      </w:rPr>
    </w:lvl>
    <w:lvl w:ilvl="4">
      <w:start w:val="0"/>
      <w:numFmt w:val="bullet"/>
      <w:lvlText w:val="•"/>
      <w:lvlJc w:val="left"/>
      <w:pPr>
        <w:ind w:left="5382" w:hanging="174"/>
      </w:pPr>
      <w:rPr>
        <w:rFonts w:hint="default"/>
      </w:rPr>
    </w:lvl>
    <w:lvl w:ilvl="5">
      <w:start w:val="0"/>
      <w:numFmt w:val="bullet"/>
      <w:lvlText w:val="•"/>
      <w:lvlJc w:val="left"/>
      <w:pPr>
        <w:ind w:left="6383" w:hanging="174"/>
      </w:pPr>
      <w:rPr>
        <w:rFonts w:hint="default"/>
      </w:rPr>
    </w:lvl>
    <w:lvl w:ilvl="6">
      <w:start w:val="0"/>
      <w:numFmt w:val="bullet"/>
      <w:lvlText w:val="•"/>
      <w:lvlJc w:val="left"/>
      <w:pPr>
        <w:ind w:left="7383" w:hanging="174"/>
      </w:pPr>
      <w:rPr>
        <w:rFonts w:hint="default"/>
      </w:rPr>
    </w:lvl>
    <w:lvl w:ilvl="7">
      <w:start w:val="0"/>
      <w:numFmt w:val="bullet"/>
      <w:lvlText w:val="•"/>
      <w:lvlJc w:val="left"/>
      <w:pPr>
        <w:ind w:left="8384" w:hanging="174"/>
      </w:pPr>
      <w:rPr>
        <w:rFonts w:hint="default"/>
      </w:rPr>
    </w:lvl>
    <w:lvl w:ilvl="8">
      <w:start w:val="0"/>
      <w:numFmt w:val="bullet"/>
      <w:lvlText w:val="•"/>
      <w:lvlJc w:val="left"/>
      <w:pPr>
        <w:ind w:left="9385" w:hanging="174"/>
      </w:pPr>
      <w:rPr>
        <w:rFonts w:hint="default"/>
      </w:rPr>
    </w:lvl>
  </w:abstractNum>
  <w:abstractNum w:abstractNumId="3">
    <w:multiLevelType w:val="hybridMultilevel"/>
    <w:lvl w:ilvl="0">
      <w:start w:val="1"/>
      <w:numFmt w:val="upperRoman"/>
      <w:lvlText w:val="%1."/>
      <w:lvlJc w:val="left"/>
      <w:pPr>
        <w:ind w:left="1380" w:hanging="574"/>
        <w:jc w:val="right"/>
      </w:pPr>
      <w:rPr>
        <w:rFonts w:hint="default" w:ascii="Tahoma" w:hAnsi="Tahoma" w:eastAsia="Tahoma" w:cs="Tahoma"/>
        <w:b/>
        <w:bCs/>
        <w:spacing w:val="0"/>
        <w:w w:val="100"/>
        <w:sz w:val="28"/>
        <w:szCs w:val="28"/>
      </w:rPr>
    </w:lvl>
    <w:lvl w:ilvl="1">
      <w:start w:val="1"/>
      <w:numFmt w:val="lowerLetter"/>
      <w:lvlText w:val="%2)"/>
      <w:lvlJc w:val="left"/>
      <w:pPr>
        <w:ind w:left="1740" w:hanging="360"/>
        <w:jc w:val="right"/>
      </w:pPr>
      <w:rPr>
        <w:rFonts w:hint="default"/>
        <w:b/>
        <w:bCs/>
        <w:spacing w:val="-182"/>
        <w:w w:val="100"/>
      </w:rPr>
    </w:lvl>
    <w:lvl w:ilvl="2">
      <w:start w:val="0"/>
      <w:numFmt w:val="bullet"/>
      <w:lvlText w:val="•"/>
      <w:lvlJc w:val="left"/>
      <w:pPr>
        <w:ind w:left="1740" w:hanging="360"/>
      </w:pPr>
      <w:rPr>
        <w:rFonts w:hint="default"/>
      </w:rPr>
    </w:lvl>
    <w:lvl w:ilvl="3">
      <w:start w:val="0"/>
      <w:numFmt w:val="bullet"/>
      <w:lvlText w:val="•"/>
      <w:lvlJc w:val="left"/>
      <w:pPr>
        <w:ind w:left="1747" w:hanging="360"/>
      </w:pPr>
      <w:rPr>
        <w:rFonts w:hint="default"/>
      </w:rPr>
    </w:lvl>
    <w:lvl w:ilvl="4">
      <w:start w:val="0"/>
      <w:numFmt w:val="bullet"/>
      <w:lvlText w:val="•"/>
      <w:lvlJc w:val="left"/>
      <w:pPr>
        <w:ind w:left="1754" w:hanging="360"/>
      </w:pPr>
      <w:rPr>
        <w:rFonts w:hint="default"/>
      </w:rPr>
    </w:lvl>
    <w:lvl w:ilvl="5">
      <w:start w:val="0"/>
      <w:numFmt w:val="bullet"/>
      <w:lvlText w:val="•"/>
      <w:lvlJc w:val="left"/>
      <w:pPr>
        <w:ind w:left="1761" w:hanging="360"/>
      </w:pPr>
      <w:rPr>
        <w:rFonts w:hint="default"/>
      </w:rPr>
    </w:lvl>
    <w:lvl w:ilvl="6">
      <w:start w:val="0"/>
      <w:numFmt w:val="bullet"/>
      <w:lvlText w:val="•"/>
      <w:lvlJc w:val="left"/>
      <w:pPr>
        <w:ind w:left="1768" w:hanging="360"/>
      </w:pPr>
      <w:rPr>
        <w:rFonts w:hint="default"/>
      </w:rPr>
    </w:lvl>
    <w:lvl w:ilvl="7">
      <w:start w:val="0"/>
      <w:numFmt w:val="bullet"/>
      <w:lvlText w:val="•"/>
      <w:lvlJc w:val="left"/>
      <w:pPr>
        <w:ind w:left="1775" w:hanging="360"/>
      </w:pPr>
      <w:rPr>
        <w:rFonts w:hint="default"/>
      </w:rPr>
    </w:lvl>
    <w:lvl w:ilvl="8">
      <w:start w:val="0"/>
      <w:numFmt w:val="bullet"/>
      <w:lvlText w:val="•"/>
      <w:lvlJc w:val="left"/>
      <w:pPr>
        <w:ind w:left="1782" w:hanging="360"/>
      </w:pPr>
      <w:rPr>
        <w:rFonts w:hint="default"/>
      </w:rPr>
    </w:lvl>
  </w:abstractNum>
  <w:abstractNum w:abstractNumId="2">
    <w:multiLevelType w:val="hybridMultilevel"/>
    <w:lvl w:ilvl="0">
      <w:start w:val="0"/>
      <w:numFmt w:val="bullet"/>
      <w:lvlText w:val="-"/>
      <w:lvlJc w:val="left"/>
      <w:pPr>
        <w:ind w:left="1380" w:hanging="137"/>
      </w:pPr>
      <w:rPr>
        <w:rFonts w:hint="default" w:ascii="Arial" w:hAnsi="Arial" w:eastAsia="Arial" w:cs="Arial"/>
        <w:w w:val="100"/>
        <w:sz w:val="22"/>
        <w:szCs w:val="22"/>
      </w:rPr>
    </w:lvl>
    <w:lvl w:ilvl="1">
      <w:start w:val="0"/>
      <w:numFmt w:val="bullet"/>
      <w:lvlText w:val="•"/>
      <w:lvlJc w:val="left"/>
      <w:pPr>
        <w:ind w:left="2380" w:hanging="137"/>
      </w:pPr>
      <w:rPr>
        <w:rFonts w:hint="default"/>
      </w:rPr>
    </w:lvl>
    <w:lvl w:ilvl="2">
      <w:start w:val="0"/>
      <w:numFmt w:val="bullet"/>
      <w:lvlText w:val="•"/>
      <w:lvlJc w:val="left"/>
      <w:pPr>
        <w:ind w:left="3381" w:hanging="137"/>
      </w:pPr>
      <w:rPr>
        <w:rFonts w:hint="default"/>
      </w:rPr>
    </w:lvl>
    <w:lvl w:ilvl="3">
      <w:start w:val="0"/>
      <w:numFmt w:val="bullet"/>
      <w:lvlText w:val="•"/>
      <w:lvlJc w:val="left"/>
      <w:pPr>
        <w:ind w:left="4381" w:hanging="137"/>
      </w:pPr>
      <w:rPr>
        <w:rFonts w:hint="default"/>
      </w:rPr>
    </w:lvl>
    <w:lvl w:ilvl="4">
      <w:start w:val="0"/>
      <w:numFmt w:val="bullet"/>
      <w:lvlText w:val="•"/>
      <w:lvlJc w:val="left"/>
      <w:pPr>
        <w:ind w:left="5382" w:hanging="137"/>
      </w:pPr>
      <w:rPr>
        <w:rFonts w:hint="default"/>
      </w:rPr>
    </w:lvl>
    <w:lvl w:ilvl="5">
      <w:start w:val="0"/>
      <w:numFmt w:val="bullet"/>
      <w:lvlText w:val="•"/>
      <w:lvlJc w:val="left"/>
      <w:pPr>
        <w:ind w:left="6383" w:hanging="137"/>
      </w:pPr>
      <w:rPr>
        <w:rFonts w:hint="default"/>
      </w:rPr>
    </w:lvl>
    <w:lvl w:ilvl="6">
      <w:start w:val="0"/>
      <w:numFmt w:val="bullet"/>
      <w:lvlText w:val="•"/>
      <w:lvlJc w:val="left"/>
      <w:pPr>
        <w:ind w:left="7383" w:hanging="137"/>
      </w:pPr>
      <w:rPr>
        <w:rFonts w:hint="default"/>
      </w:rPr>
    </w:lvl>
    <w:lvl w:ilvl="7">
      <w:start w:val="0"/>
      <w:numFmt w:val="bullet"/>
      <w:lvlText w:val="•"/>
      <w:lvlJc w:val="left"/>
      <w:pPr>
        <w:ind w:left="8384" w:hanging="137"/>
      </w:pPr>
      <w:rPr>
        <w:rFonts w:hint="default"/>
      </w:rPr>
    </w:lvl>
    <w:lvl w:ilvl="8">
      <w:start w:val="0"/>
      <w:numFmt w:val="bullet"/>
      <w:lvlText w:val="•"/>
      <w:lvlJc w:val="left"/>
      <w:pPr>
        <w:ind w:left="9385" w:hanging="137"/>
      </w:pPr>
      <w:rPr>
        <w:rFonts w:hint="default"/>
      </w:rPr>
    </w:lvl>
  </w:abstractNum>
  <w:abstractNum w:abstractNumId="1">
    <w:multiLevelType w:val="hybridMultilevel"/>
    <w:lvl w:ilvl="0">
      <w:start w:val="1"/>
      <w:numFmt w:val="upperRoman"/>
      <w:lvlText w:val="%1."/>
      <w:lvlJc w:val="left"/>
      <w:pPr>
        <w:ind w:left="1380" w:hanging="497"/>
        <w:jc w:val="right"/>
      </w:pPr>
      <w:rPr>
        <w:rFonts w:hint="default" w:ascii="Calibri" w:hAnsi="Calibri" w:eastAsia="Calibri" w:cs="Calibri"/>
        <w:b/>
        <w:bCs/>
        <w:spacing w:val="-2"/>
        <w:w w:val="100"/>
        <w:sz w:val="28"/>
        <w:szCs w:val="28"/>
      </w:rPr>
    </w:lvl>
    <w:lvl w:ilvl="1">
      <w:start w:val="0"/>
      <w:numFmt w:val="bullet"/>
      <w:lvlText w:val=""/>
      <w:lvlJc w:val="left"/>
      <w:pPr>
        <w:ind w:left="1392" w:hanging="348"/>
      </w:pPr>
      <w:rPr>
        <w:rFonts w:hint="default" w:ascii="Wingdings" w:hAnsi="Wingdings" w:eastAsia="Wingdings" w:cs="Wingdings"/>
        <w:w w:val="100"/>
        <w:sz w:val="22"/>
        <w:szCs w:val="22"/>
      </w:rPr>
    </w:lvl>
    <w:lvl w:ilvl="2">
      <w:start w:val="0"/>
      <w:numFmt w:val="bullet"/>
      <w:lvlText w:val="•"/>
      <w:lvlJc w:val="left"/>
      <w:pPr>
        <w:ind w:left="2509" w:hanging="348"/>
      </w:pPr>
      <w:rPr>
        <w:rFonts w:hint="default"/>
      </w:rPr>
    </w:lvl>
    <w:lvl w:ilvl="3">
      <w:start w:val="0"/>
      <w:numFmt w:val="bullet"/>
      <w:lvlText w:val="•"/>
      <w:lvlJc w:val="left"/>
      <w:pPr>
        <w:ind w:left="3619" w:hanging="348"/>
      </w:pPr>
      <w:rPr>
        <w:rFonts w:hint="default"/>
      </w:rPr>
    </w:lvl>
    <w:lvl w:ilvl="4">
      <w:start w:val="0"/>
      <w:numFmt w:val="bullet"/>
      <w:lvlText w:val="•"/>
      <w:lvlJc w:val="left"/>
      <w:pPr>
        <w:ind w:left="4728" w:hanging="348"/>
      </w:pPr>
      <w:rPr>
        <w:rFonts w:hint="default"/>
      </w:rPr>
    </w:lvl>
    <w:lvl w:ilvl="5">
      <w:start w:val="0"/>
      <w:numFmt w:val="bullet"/>
      <w:lvlText w:val="•"/>
      <w:lvlJc w:val="left"/>
      <w:pPr>
        <w:ind w:left="5838" w:hanging="348"/>
      </w:pPr>
      <w:rPr>
        <w:rFonts w:hint="default"/>
      </w:rPr>
    </w:lvl>
    <w:lvl w:ilvl="6">
      <w:start w:val="0"/>
      <w:numFmt w:val="bullet"/>
      <w:lvlText w:val="•"/>
      <w:lvlJc w:val="left"/>
      <w:pPr>
        <w:ind w:left="6948" w:hanging="348"/>
      </w:pPr>
      <w:rPr>
        <w:rFonts w:hint="default"/>
      </w:rPr>
    </w:lvl>
    <w:lvl w:ilvl="7">
      <w:start w:val="0"/>
      <w:numFmt w:val="bullet"/>
      <w:lvlText w:val="•"/>
      <w:lvlJc w:val="left"/>
      <w:pPr>
        <w:ind w:left="8057" w:hanging="348"/>
      </w:pPr>
      <w:rPr>
        <w:rFonts w:hint="default"/>
      </w:rPr>
    </w:lvl>
    <w:lvl w:ilvl="8">
      <w:start w:val="0"/>
      <w:numFmt w:val="bullet"/>
      <w:lvlText w:val="•"/>
      <w:lvlJc w:val="left"/>
      <w:pPr>
        <w:ind w:left="9167" w:hanging="348"/>
      </w:pPr>
      <w:rPr>
        <w:rFonts w:hint="default"/>
      </w:rPr>
    </w:lvl>
  </w:abstractNum>
  <w:abstractNum w:abstractNumId="0">
    <w:multiLevelType w:val="hybridMultilevel"/>
    <w:lvl w:ilvl="0">
      <w:start w:val="0"/>
      <w:numFmt w:val="bullet"/>
      <w:lvlText w:val=""/>
      <w:lvlJc w:val="left"/>
      <w:pPr>
        <w:ind w:left="1392" w:hanging="347"/>
      </w:pPr>
      <w:rPr>
        <w:rFonts w:hint="default" w:ascii="Wingdings" w:hAnsi="Wingdings" w:eastAsia="Wingdings" w:cs="Wingdings"/>
        <w:w w:val="100"/>
        <w:sz w:val="22"/>
        <w:szCs w:val="22"/>
      </w:rPr>
    </w:lvl>
    <w:lvl w:ilvl="1">
      <w:start w:val="0"/>
      <w:numFmt w:val="bullet"/>
      <w:lvlText w:val="•"/>
      <w:lvlJc w:val="left"/>
      <w:pPr>
        <w:ind w:left="2398" w:hanging="347"/>
      </w:pPr>
      <w:rPr>
        <w:rFonts w:hint="default"/>
      </w:rPr>
    </w:lvl>
    <w:lvl w:ilvl="2">
      <w:start w:val="0"/>
      <w:numFmt w:val="bullet"/>
      <w:lvlText w:val="•"/>
      <w:lvlJc w:val="left"/>
      <w:pPr>
        <w:ind w:left="3397" w:hanging="347"/>
      </w:pPr>
      <w:rPr>
        <w:rFonts w:hint="default"/>
      </w:rPr>
    </w:lvl>
    <w:lvl w:ilvl="3">
      <w:start w:val="0"/>
      <w:numFmt w:val="bullet"/>
      <w:lvlText w:val="•"/>
      <w:lvlJc w:val="left"/>
      <w:pPr>
        <w:ind w:left="4395" w:hanging="347"/>
      </w:pPr>
      <w:rPr>
        <w:rFonts w:hint="default"/>
      </w:rPr>
    </w:lvl>
    <w:lvl w:ilvl="4">
      <w:start w:val="0"/>
      <w:numFmt w:val="bullet"/>
      <w:lvlText w:val="•"/>
      <w:lvlJc w:val="left"/>
      <w:pPr>
        <w:ind w:left="5394" w:hanging="347"/>
      </w:pPr>
      <w:rPr>
        <w:rFonts w:hint="default"/>
      </w:rPr>
    </w:lvl>
    <w:lvl w:ilvl="5">
      <w:start w:val="0"/>
      <w:numFmt w:val="bullet"/>
      <w:lvlText w:val="•"/>
      <w:lvlJc w:val="left"/>
      <w:pPr>
        <w:ind w:left="6393" w:hanging="347"/>
      </w:pPr>
      <w:rPr>
        <w:rFonts w:hint="default"/>
      </w:rPr>
    </w:lvl>
    <w:lvl w:ilvl="6">
      <w:start w:val="0"/>
      <w:numFmt w:val="bullet"/>
      <w:lvlText w:val="•"/>
      <w:lvlJc w:val="left"/>
      <w:pPr>
        <w:ind w:left="7391" w:hanging="347"/>
      </w:pPr>
      <w:rPr>
        <w:rFonts w:hint="default"/>
      </w:rPr>
    </w:lvl>
    <w:lvl w:ilvl="7">
      <w:start w:val="0"/>
      <w:numFmt w:val="bullet"/>
      <w:lvlText w:val="•"/>
      <w:lvlJc w:val="left"/>
      <w:pPr>
        <w:ind w:left="8390" w:hanging="347"/>
      </w:pPr>
      <w:rPr>
        <w:rFonts w:hint="default"/>
      </w:rPr>
    </w:lvl>
    <w:lvl w:ilvl="8">
      <w:start w:val="0"/>
      <w:numFmt w:val="bullet"/>
      <w:lvlText w:val="•"/>
      <w:lvlJc w:val="left"/>
      <w:pPr>
        <w:ind w:left="9389" w:hanging="347"/>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94" w:right="90"/>
      <w:jc w:val="center"/>
      <w:outlineLvl w:val="1"/>
    </w:pPr>
    <w:rPr>
      <w:rFonts w:ascii="Calibri" w:hAnsi="Calibri" w:eastAsia="Calibri" w:cs="Calibri"/>
      <w:b/>
      <w:bCs/>
      <w:sz w:val="56"/>
      <w:szCs w:val="56"/>
    </w:rPr>
  </w:style>
  <w:style w:styleId="Heading2" w:type="paragraph">
    <w:name w:val="Heading 2"/>
    <w:basedOn w:val="Normal"/>
    <w:uiPriority w:val="1"/>
    <w:qFormat/>
    <w:pPr>
      <w:spacing w:before="89"/>
      <w:ind w:left="528"/>
      <w:outlineLvl w:val="2"/>
    </w:pPr>
    <w:rPr>
      <w:rFonts w:ascii="Arial" w:hAnsi="Arial" w:eastAsia="Arial" w:cs="Arial"/>
      <w:b/>
      <w:bCs/>
      <w:i/>
      <w:sz w:val="32"/>
      <w:szCs w:val="32"/>
      <w:u w:val="single" w:color="000000"/>
    </w:rPr>
  </w:style>
  <w:style w:styleId="Heading3" w:type="paragraph">
    <w:name w:val="Heading 3"/>
    <w:basedOn w:val="Normal"/>
    <w:uiPriority w:val="1"/>
    <w:qFormat/>
    <w:pPr>
      <w:spacing w:before="84"/>
      <w:ind w:left="1380" w:hanging="711"/>
      <w:outlineLvl w:val="3"/>
    </w:pPr>
    <w:rPr>
      <w:rFonts w:ascii="Calibri" w:hAnsi="Calibri" w:eastAsia="Calibri" w:cs="Calibri"/>
      <w:b/>
      <w:bCs/>
      <w:sz w:val="28"/>
      <w:szCs w:val="28"/>
      <w:u w:val="single" w:color="000000"/>
    </w:rPr>
  </w:style>
  <w:style w:styleId="ListParagraph" w:type="paragraph">
    <w:name w:val="List Paragraph"/>
    <w:basedOn w:val="Normal"/>
    <w:uiPriority w:val="1"/>
    <w:qFormat/>
    <w:pPr>
      <w:spacing w:before="1"/>
      <w:ind w:left="138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marie-laure</dc:creator>
  <dc:title>Microsoft Word - 2023_09_Frais_transport_domicile_travail-Forfait mobilités durables.doc</dc:title>
  <dcterms:created xsi:type="dcterms:W3CDTF">2025-12-23T15:15:51Z</dcterms:created>
  <dcterms:modified xsi:type="dcterms:W3CDTF">2025-12-23T15:15:51Z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LastSaved">
    <vt:filetime>2025-12-23T00:00:00Z</vt:filetime>
  </property>
</Properties>
</file>